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A0" w:rsidRPr="003242E9" w:rsidRDefault="00511924" w:rsidP="003F7C6D">
      <w:pPr>
        <w:jc w:val="both"/>
        <w:rPr>
          <w:rFonts w:cs="Times New Roman"/>
          <w:b/>
          <w:sz w:val="24"/>
          <w:szCs w:val="24"/>
        </w:rPr>
      </w:pPr>
      <w:r w:rsidRPr="003242E9">
        <w:rPr>
          <w:rFonts w:cs="Times New Roman"/>
          <w:b/>
          <w:sz w:val="24"/>
          <w:szCs w:val="24"/>
        </w:rPr>
        <w:t xml:space="preserve">Macroeconomic Modelling at </w:t>
      </w:r>
      <w:r w:rsidR="00000496" w:rsidRPr="003242E9">
        <w:rPr>
          <w:rFonts w:cs="Times New Roman"/>
          <w:b/>
          <w:sz w:val="24"/>
          <w:szCs w:val="24"/>
        </w:rPr>
        <w:t>the Institute</w:t>
      </w:r>
      <w:r w:rsidR="002500A0" w:rsidRPr="003242E9">
        <w:rPr>
          <w:rFonts w:cs="Times New Roman"/>
          <w:b/>
          <w:sz w:val="24"/>
          <w:szCs w:val="24"/>
        </w:rPr>
        <w:t>: hopes, challenges and a lasting contribution</w:t>
      </w:r>
    </w:p>
    <w:p w:rsidR="002500A0" w:rsidRPr="003242E9" w:rsidRDefault="002500A0" w:rsidP="003F7C6D">
      <w:pPr>
        <w:jc w:val="both"/>
        <w:rPr>
          <w:rFonts w:cs="Times New Roman"/>
          <w:sz w:val="24"/>
          <w:szCs w:val="24"/>
        </w:rPr>
      </w:pPr>
      <w:r w:rsidRPr="003242E9">
        <w:rPr>
          <w:rFonts w:cs="Times New Roman"/>
          <w:sz w:val="24"/>
          <w:szCs w:val="24"/>
        </w:rPr>
        <w:t>Andy Blake, Ray, Barrell and Garry Young</w:t>
      </w:r>
      <w:r w:rsidRPr="003242E9">
        <w:rPr>
          <w:rStyle w:val="FootnoteReference"/>
          <w:rFonts w:cs="Times New Roman"/>
          <w:sz w:val="24"/>
          <w:szCs w:val="24"/>
        </w:rPr>
        <w:footnoteReference w:id="1"/>
      </w:r>
    </w:p>
    <w:p w:rsidR="005F489F" w:rsidRPr="003242E9" w:rsidRDefault="005F489F" w:rsidP="003F7C6D">
      <w:pPr>
        <w:jc w:val="both"/>
        <w:rPr>
          <w:rFonts w:cs="Times New Roman"/>
          <w:b/>
          <w:sz w:val="24"/>
          <w:szCs w:val="24"/>
        </w:rPr>
      </w:pPr>
      <w:r w:rsidRPr="003242E9">
        <w:rPr>
          <w:rFonts w:cs="Times New Roman"/>
          <w:b/>
          <w:sz w:val="24"/>
          <w:szCs w:val="24"/>
        </w:rPr>
        <w:t>Abstract</w:t>
      </w:r>
    </w:p>
    <w:p w:rsidR="005F489F" w:rsidRPr="003242E9" w:rsidRDefault="0021169B" w:rsidP="003F7C6D">
      <w:pPr>
        <w:spacing w:line="240" w:lineRule="auto"/>
        <w:jc w:val="both"/>
        <w:rPr>
          <w:rFonts w:cs="Times New Roman"/>
          <w:sz w:val="24"/>
          <w:szCs w:val="24"/>
        </w:rPr>
      </w:pPr>
      <w:r>
        <w:rPr>
          <w:rFonts w:cs="Times New Roman"/>
          <w:sz w:val="24"/>
          <w:szCs w:val="24"/>
        </w:rPr>
        <w:t xml:space="preserve">The Institute </w:t>
      </w:r>
      <w:r w:rsidR="005F489F" w:rsidRPr="003242E9">
        <w:rPr>
          <w:rFonts w:cs="Times New Roman"/>
          <w:sz w:val="24"/>
          <w:szCs w:val="24"/>
        </w:rPr>
        <w:t xml:space="preserve">is a world leader in macroeconomic modelling and forecasting.  It has produced quarterly economic forecasts for around sixty years, supported by macroeconomic models.  The aim of the original builders of macroeconomic models was to transform understanding of how economies worked and use that knowledge to improve economic policy.  In the early years, when computers were rare, macroeconomic modelling was a new frontier and </w:t>
      </w:r>
      <w:r>
        <w:rPr>
          <w:rFonts w:cs="Times New Roman"/>
          <w:sz w:val="24"/>
          <w:szCs w:val="24"/>
        </w:rPr>
        <w:t xml:space="preserve">Institute </w:t>
      </w:r>
      <w:r w:rsidR="005F489F" w:rsidRPr="003242E9">
        <w:rPr>
          <w:rFonts w:cs="Times New Roman"/>
          <w:sz w:val="24"/>
          <w:szCs w:val="24"/>
        </w:rPr>
        <w:t xml:space="preserve">economists were among the first to produce a working model of the UK economy.    It is remarkable how quickly models were being used to produce forecasts, assess policy and influence the international macroeconomic research agenda.  The models built </w:t>
      </w:r>
      <w:r>
        <w:rPr>
          <w:rFonts w:cs="Times New Roman"/>
          <w:sz w:val="24"/>
          <w:szCs w:val="24"/>
        </w:rPr>
        <w:t xml:space="preserve">at the Institute </w:t>
      </w:r>
      <w:r w:rsidR="005F489F" w:rsidRPr="003242E9">
        <w:rPr>
          <w:rFonts w:cs="Times New Roman"/>
          <w:sz w:val="24"/>
          <w:szCs w:val="24"/>
        </w:rPr>
        <w:t>were mainstream in the sense that they followed the contents of standard macroeconomic textbooks, developed with the subject</w:t>
      </w:r>
      <w:r>
        <w:rPr>
          <w:rFonts w:cs="Times New Roman"/>
          <w:sz w:val="24"/>
          <w:szCs w:val="24"/>
        </w:rPr>
        <w:t>,</w:t>
      </w:r>
      <w:r w:rsidR="005F489F" w:rsidRPr="003242E9">
        <w:rPr>
          <w:rFonts w:cs="Times New Roman"/>
          <w:sz w:val="24"/>
          <w:szCs w:val="24"/>
        </w:rPr>
        <w:t xml:space="preserve"> and fitted the facts as they were known at the time. There were continual improvements in understanding as the subject developed in response to new ideas and developments in the global economy.  This article</w:t>
      </w:r>
      <w:r w:rsidR="00BD4DE7" w:rsidRPr="003242E9">
        <w:rPr>
          <w:rFonts w:cs="Times New Roman"/>
          <w:sz w:val="24"/>
          <w:szCs w:val="24"/>
        </w:rPr>
        <w:t>, together with the accompanying one by Stephen Hall and Brian Henry,</w:t>
      </w:r>
      <w:r w:rsidR="005F489F" w:rsidRPr="003242E9">
        <w:rPr>
          <w:rFonts w:cs="Times New Roman"/>
          <w:sz w:val="24"/>
          <w:szCs w:val="24"/>
        </w:rPr>
        <w:t xml:space="preserve"> celebrates the development of macroeconomic modelling at </w:t>
      </w:r>
      <w:r>
        <w:rPr>
          <w:rFonts w:cs="Times New Roman"/>
          <w:sz w:val="24"/>
          <w:szCs w:val="24"/>
        </w:rPr>
        <w:t xml:space="preserve">the Institute and the contribution it has made to public life. </w:t>
      </w:r>
    </w:p>
    <w:p w:rsidR="005F489F" w:rsidRPr="003242E9" w:rsidRDefault="005F489F" w:rsidP="003F7C6D">
      <w:pPr>
        <w:jc w:val="both"/>
        <w:rPr>
          <w:rFonts w:cs="Times New Roman"/>
          <w:sz w:val="24"/>
          <w:szCs w:val="24"/>
        </w:rPr>
      </w:pPr>
    </w:p>
    <w:p w:rsidR="002500A0" w:rsidRPr="003242E9" w:rsidRDefault="00537BD5" w:rsidP="003F7C6D">
      <w:pPr>
        <w:pStyle w:val="ListParagraph"/>
        <w:numPr>
          <w:ilvl w:val="0"/>
          <w:numId w:val="1"/>
        </w:numPr>
        <w:jc w:val="both"/>
        <w:rPr>
          <w:rFonts w:cs="Times New Roman"/>
          <w:sz w:val="24"/>
          <w:szCs w:val="24"/>
        </w:rPr>
      </w:pPr>
      <w:r w:rsidRPr="003242E9">
        <w:rPr>
          <w:rFonts w:cs="Times New Roman"/>
          <w:sz w:val="24"/>
          <w:szCs w:val="24"/>
        </w:rPr>
        <w:t>Introduction</w:t>
      </w:r>
    </w:p>
    <w:p w:rsidR="00511924" w:rsidRPr="003242E9" w:rsidRDefault="00953697" w:rsidP="003F7C6D">
      <w:pPr>
        <w:jc w:val="both"/>
        <w:rPr>
          <w:rFonts w:cs="Times New Roman"/>
          <w:sz w:val="24"/>
          <w:szCs w:val="24"/>
          <w:shd w:val="clear" w:color="auto" w:fill="FFFFFF"/>
        </w:rPr>
      </w:pPr>
      <w:r w:rsidRPr="003242E9">
        <w:rPr>
          <w:rFonts w:cs="Times New Roman"/>
          <w:sz w:val="24"/>
          <w:szCs w:val="24"/>
        </w:rPr>
        <w:t xml:space="preserve">The </w:t>
      </w:r>
      <w:r w:rsidR="001E1EA3" w:rsidRPr="003242E9">
        <w:rPr>
          <w:rFonts w:cs="Times New Roman"/>
          <w:sz w:val="24"/>
          <w:szCs w:val="24"/>
        </w:rPr>
        <w:t xml:space="preserve">Institute’s mission, as set out by its founders, is </w:t>
      </w:r>
      <w:r w:rsidRPr="003242E9">
        <w:rPr>
          <w:rFonts w:cs="Times New Roman"/>
          <w:sz w:val="24"/>
          <w:szCs w:val="24"/>
        </w:rPr>
        <w:t xml:space="preserve">to </w:t>
      </w:r>
      <w:r w:rsidR="001E1EA3" w:rsidRPr="003242E9">
        <w:rPr>
          <w:rFonts w:cs="Times New Roman"/>
          <w:sz w:val="24"/>
          <w:szCs w:val="24"/>
        </w:rPr>
        <w:t>‘</w:t>
      </w:r>
      <w:r w:rsidR="001E1EA3" w:rsidRPr="003242E9">
        <w:rPr>
          <w:rFonts w:cs="Times New Roman"/>
          <w:sz w:val="24"/>
          <w:szCs w:val="24"/>
          <w:shd w:val="clear" w:color="auto" w:fill="FFFFFF"/>
        </w:rPr>
        <w:t xml:space="preserve">carry out research into the economic and social forces that affect people’s lives and to improve the understanding of those forces and the ways in which policy can bring about change’.  </w:t>
      </w:r>
      <w:r w:rsidR="00A024CA" w:rsidRPr="003242E9">
        <w:rPr>
          <w:rFonts w:cs="Times New Roman"/>
          <w:sz w:val="24"/>
          <w:szCs w:val="24"/>
          <w:shd w:val="clear" w:color="auto" w:fill="FFFFFF"/>
        </w:rPr>
        <w:t xml:space="preserve">In recognition of the key role that macroeconomic fluctuations and trends play in influencing living standards, one of the </w:t>
      </w:r>
      <w:r w:rsidR="0052377F" w:rsidRPr="003242E9">
        <w:rPr>
          <w:rFonts w:cs="Times New Roman"/>
          <w:sz w:val="24"/>
          <w:szCs w:val="24"/>
          <w:shd w:val="clear" w:color="auto" w:fill="FFFFFF"/>
        </w:rPr>
        <w:t xml:space="preserve">main </w:t>
      </w:r>
      <w:r w:rsidR="00A024CA" w:rsidRPr="003242E9">
        <w:rPr>
          <w:rFonts w:cs="Times New Roman"/>
          <w:sz w:val="24"/>
          <w:szCs w:val="24"/>
          <w:shd w:val="clear" w:color="auto" w:fill="FFFFFF"/>
        </w:rPr>
        <w:t xml:space="preserve">ways in which the Institute has fulfilled </w:t>
      </w:r>
      <w:r w:rsidR="00B1173A" w:rsidRPr="003242E9">
        <w:rPr>
          <w:rFonts w:cs="Times New Roman"/>
          <w:sz w:val="24"/>
          <w:szCs w:val="24"/>
          <w:shd w:val="clear" w:color="auto" w:fill="FFFFFF"/>
        </w:rPr>
        <w:t>this</w:t>
      </w:r>
      <w:r w:rsidR="00A024CA" w:rsidRPr="003242E9">
        <w:rPr>
          <w:rFonts w:cs="Times New Roman"/>
          <w:sz w:val="24"/>
          <w:szCs w:val="24"/>
          <w:shd w:val="clear" w:color="auto" w:fill="FFFFFF"/>
        </w:rPr>
        <w:t xml:space="preserve"> mission </w:t>
      </w:r>
      <w:r w:rsidR="0011192D" w:rsidRPr="003242E9">
        <w:rPr>
          <w:rFonts w:cs="Times New Roman"/>
          <w:sz w:val="24"/>
          <w:szCs w:val="24"/>
          <w:shd w:val="clear" w:color="auto" w:fill="FFFFFF"/>
        </w:rPr>
        <w:t>for m</w:t>
      </w:r>
      <w:r w:rsidR="00537BD5" w:rsidRPr="003242E9">
        <w:rPr>
          <w:rFonts w:cs="Times New Roman"/>
          <w:sz w:val="24"/>
          <w:szCs w:val="24"/>
          <w:shd w:val="clear" w:color="auto" w:fill="FFFFFF"/>
        </w:rPr>
        <w:t xml:space="preserve">uch </w:t>
      </w:r>
      <w:r w:rsidR="0011192D" w:rsidRPr="003242E9">
        <w:rPr>
          <w:rFonts w:cs="Times New Roman"/>
          <w:sz w:val="24"/>
          <w:szCs w:val="24"/>
          <w:shd w:val="clear" w:color="auto" w:fill="FFFFFF"/>
        </w:rPr>
        <w:t xml:space="preserve">of </w:t>
      </w:r>
      <w:r w:rsidR="00B85728" w:rsidRPr="003242E9">
        <w:rPr>
          <w:rFonts w:cs="Times New Roman"/>
          <w:sz w:val="24"/>
          <w:szCs w:val="24"/>
          <w:shd w:val="clear" w:color="auto" w:fill="FFFFFF"/>
        </w:rPr>
        <w:t xml:space="preserve">its eighty years </w:t>
      </w:r>
      <w:r w:rsidR="0011192D" w:rsidRPr="003242E9">
        <w:rPr>
          <w:rFonts w:cs="Times New Roman"/>
          <w:sz w:val="24"/>
          <w:szCs w:val="24"/>
          <w:shd w:val="clear" w:color="auto" w:fill="FFFFFF"/>
        </w:rPr>
        <w:t xml:space="preserve">has been </w:t>
      </w:r>
      <w:r w:rsidR="00A024CA" w:rsidRPr="003242E9">
        <w:rPr>
          <w:rFonts w:cs="Times New Roman"/>
          <w:sz w:val="24"/>
          <w:szCs w:val="24"/>
          <w:shd w:val="clear" w:color="auto" w:fill="FFFFFF"/>
        </w:rPr>
        <w:t xml:space="preserve">through </w:t>
      </w:r>
      <w:r w:rsidR="00B85728" w:rsidRPr="003242E9">
        <w:rPr>
          <w:rFonts w:cs="Times New Roman"/>
          <w:sz w:val="24"/>
          <w:szCs w:val="24"/>
          <w:shd w:val="clear" w:color="auto" w:fill="FFFFFF"/>
        </w:rPr>
        <w:t xml:space="preserve">the publication of its regular economic commentary and forecasts, underpinned by macroeconomic models.  </w:t>
      </w:r>
    </w:p>
    <w:p w:rsidR="001B3515" w:rsidRPr="003242E9" w:rsidRDefault="0011192D" w:rsidP="003F7C6D">
      <w:pPr>
        <w:jc w:val="both"/>
        <w:rPr>
          <w:rFonts w:cs="Times New Roman"/>
          <w:sz w:val="24"/>
          <w:szCs w:val="24"/>
          <w:shd w:val="clear" w:color="auto" w:fill="FFFFFF"/>
        </w:rPr>
      </w:pPr>
      <w:r w:rsidRPr="003242E9">
        <w:rPr>
          <w:rFonts w:cs="Times New Roman"/>
          <w:sz w:val="24"/>
          <w:szCs w:val="24"/>
          <w:shd w:val="clear" w:color="auto" w:fill="FFFFFF"/>
        </w:rPr>
        <w:t xml:space="preserve">The original impetus for the Institute’s work in this area came in the mid-1950s </w:t>
      </w:r>
      <w:r w:rsidR="00D43934" w:rsidRPr="003242E9">
        <w:rPr>
          <w:rFonts w:cs="Times New Roman"/>
          <w:sz w:val="24"/>
          <w:szCs w:val="24"/>
          <w:shd w:val="clear" w:color="auto" w:fill="FFFFFF"/>
        </w:rPr>
        <w:t xml:space="preserve">when it was felt that ‘the lack of informed debate about economic policy gave the government an unduly great influence on public opinion’ (Jones, 1998).  With Treasury support and a grant from the Ford Foundation, the Institute began a programme of work on macroeconomic studies and short-term national income forecasting.  </w:t>
      </w:r>
      <w:r w:rsidR="003B05B6" w:rsidRPr="003242E9">
        <w:rPr>
          <w:rFonts w:cs="Times New Roman"/>
          <w:sz w:val="24"/>
          <w:szCs w:val="24"/>
          <w:shd w:val="clear" w:color="auto" w:fill="FFFFFF"/>
        </w:rPr>
        <w:t>This led to the quarterly publication of economic forecasts</w:t>
      </w:r>
      <w:r w:rsidR="007F017C" w:rsidRPr="003242E9">
        <w:rPr>
          <w:rFonts w:cs="Times New Roman"/>
          <w:sz w:val="24"/>
          <w:szCs w:val="24"/>
          <w:shd w:val="clear" w:color="auto" w:fill="FFFFFF"/>
        </w:rPr>
        <w:t xml:space="preserve"> under the direction of Christopher Dow, later chief economist at the OECD and Deputy Governor at the Bank</w:t>
      </w:r>
      <w:r w:rsidR="003B05B6" w:rsidRPr="003242E9">
        <w:rPr>
          <w:rFonts w:cs="Times New Roman"/>
          <w:sz w:val="24"/>
          <w:szCs w:val="24"/>
          <w:shd w:val="clear" w:color="auto" w:fill="FFFFFF"/>
        </w:rPr>
        <w:t>, starting in the first issue of the Review in January 1959 and continuing almost without interruption to this day.</w:t>
      </w:r>
      <w:r w:rsidR="00537BD5" w:rsidRPr="003242E9">
        <w:rPr>
          <w:rStyle w:val="FootnoteReference"/>
          <w:rFonts w:cs="Times New Roman"/>
          <w:sz w:val="24"/>
          <w:szCs w:val="24"/>
          <w:shd w:val="clear" w:color="auto" w:fill="FFFFFF"/>
        </w:rPr>
        <w:footnoteReference w:id="2"/>
      </w:r>
    </w:p>
    <w:p w:rsidR="001B3515" w:rsidRPr="003242E9" w:rsidRDefault="001B3515" w:rsidP="003F7C6D">
      <w:pPr>
        <w:jc w:val="both"/>
        <w:rPr>
          <w:rFonts w:cs="Times New Roman"/>
          <w:sz w:val="24"/>
          <w:szCs w:val="24"/>
          <w:shd w:val="clear" w:color="auto" w:fill="FFFFFF"/>
        </w:rPr>
      </w:pPr>
      <w:r w:rsidRPr="003242E9">
        <w:rPr>
          <w:rFonts w:cs="Times New Roman"/>
          <w:sz w:val="24"/>
          <w:szCs w:val="24"/>
          <w:shd w:val="clear" w:color="auto" w:fill="FFFFFF"/>
        </w:rPr>
        <w:t xml:space="preserve">The </w:t>
      </w:r>
      <w:r w:rsidR="002F7D62" w:rsidRPr="003242E9">
        <w:rPr>
          <w:rFonts w:cs="Times New Roman"/>
          <w:sz w:val="24"/>
          <w:szCs w:val="24"/>
          <w:shd w:val="clear" w:color="auto" w:fill="FFFFFF"/>
        </w:rPr>
        <w:t xml:space="preserve">Institute’s </w:t>
      </w:r>
      <w:r w:rsidR="003B05B6" w:rsidRPr="003242E9">
        <w:rPr>
          <w:rFonts w:cs="Times New Roman"/>
          <w:sz w:val="24"/>
          <w:szCs w:val="24"/>
          <w:shd w:val="clear" w:color="auto" w:fill="FFFFFF"/>
        </w:rPr>
        <w:t xml:space="preserve">purpose </w:t>
      </w:r>
      <w:r w:rsidR="002F7D62" w:rsidRPr="003242E9">
        <w:rPr>
          <w:rFonts w:cs="Times New Roman"/>
          <w:sz w:val="24"/>
          <w:szCs w:val="24"/>
          <w:shd w:val="clear" w:color="auto" w:fill="FFFFFF"/>
        </w:rPr>
        <w:t xml:space="preserve">in </w:t>
      </w:r>
      <w:r w:rsidR="00406F14" w:rsidRPr="003242E9">
        <w:rPr>
          <w:rFonts w:cs="Times New Roman"/>
          <w:sz w:val="24"/>
          <w:szCs w:val="24"/>
          <w:shd w:val="clear" w:color="auto" w:fill="FFFFFF"/>
        </w:rPr>
        <w:t xml:space="preserve">publishing </w:t>
      </w:r>
      <w:r w:rsidR="003B05B6" w:rsidRPr="003242E9">
        <w:rPr>
          <w:rFonts w:cs="Times New Roman"/>
          <w:sz w:val="24"/>
          <w:szCs w:val="24"/>
          <w:shd w:val="clear" w:color="auto" w:fill="FFFFFF"/>
        </w:rPr>
        <w:t>economic forecast</w:t>
      </w:r>
      <w:r w:rsidR="00406F14" w:rsidRPr="003242E9">
        <w:rPr>
          <w:rFonts w:cs="Times New Roman"/>
          <w:sz w:val="24"/>
          <w:szCs w:val="24"/>
          <w:shd w:val="clear" w:color="auto" w:fill="FFFFFF"/>
        </w:rPr>
        <w:t>s</w:t>
      </w:r>
      <w:r w:rsidR="003B05B6" w:rsidRPr="003242E9">
        <w:rPr>
          <w:rFonts w:cs="Times New Roman"/>
          <w:sz w:val="24"/>
          <w:szCs w:val="24"/>
          <w:shd w:val="clear" w:color="auto" w:fill="FFFFFF"/>
        </w:rPr>
        <w:t xml:space="preserve"> </w:t>
      </w:r>
      <w:r w:rsidRPr="003242E9">
        <w:rPr>
          <w:rFonts w:cs="Times New Roman"/>
          <w:sz w:val="24"/>
          <w:szCs w:val="24"/>
          <w:shd w:val="clear" w:color="auto" w:fill="FFFFFF"/>
        </w:rPr>
        <w:t>was, and still is, to give a ‘wholly independent opinion on the state of the economy’ (</w:t>
      </w:r>
      <w:proofErr w:type="spellStart"/>
      <w:r w:rsidRPr="003242E9">
        <w:rPr>
          <w:rFonts w:cs="Times New Roman"/>
          <w:sz w:val="24"/>
          <w:szCs w:val="24"/>
          <w:shd w:val="clear" w:color="auto" w:fill="FFFFFF"/>
        </w:rPr>
        <w:t>Worswick</w:t>
      </w:r>
      <w:proofErr w:type="spellEnd"/>
      <w:r w:rsidRPr="003242E9">
        <w:rPr>
          <w:rFonts w:cs="Times New Roman"/>
          <w:sz w:val="24"/>
          <w:szCs w:val="24"/>
          <w:shd w:val="clear" w:color="auto" w:fill="FFFFFF"/>
        </w:rPr>
        <w:t>, 1971).</w:t>
      </w:r>
      <w:r w:rsidR="008377A6" w:rsidRPr="003242E9">
        <w:rPr>
          <w:rFonts w:cs="Times New Roman"/>
          <w:sz w:val="24"/>
          <w:szCs w:val="24"/>
          <w:shd w:val="clear" w:color="auto" w:fill="FFFFFF"/>
        </w:rPr>
        <w:t xml:space="preserve">  </w:t>
      </w:r>
      <w:r w:rsidR="00740482" w:rsidRPr="003242E9">
        <w:rPr>
          <w:rFonts w:cs="Times New Roman"/>
          <w:sz w:val="24"/>
          <w:szCs w:val="24"/>
          <w:shd w:val="clear" w:color="auto" w:fill="FFFFFF"/>
        </w:rPr>
        <w:t>Th</w:t>
      </w:r>
      <w:r w:rsidR="00537BD5" w:rsidRPr="003242E9">
        <w:rPr>
          <w:rFonts w:cs="Times New Roman"/>
          <w:sz w:val="24"/>
          <w:szCs w:val="24"/>
          <w:shd w:val="clear" w:color="auto" w:fill="FFFFFF"/>
        </w:rPr>
        <w:t xml:space="preserve">is involves a </w:t>
      </w:r>
      <w:r w:rsidR="00537BD5" w:rsidRPr="003242E9">
        <w:rPr>
          <w:rFonts w:cs="Times New Roman"/>
          <w:sz w:val="24"/>
          <w:szCs w:val="24"/>
          <w:shd w:val="clear" w:color="auto" w:fill="FFFFFF"/>
        </w:rPr>
        <w:lastRenderedPageBreak/>
        <w:t xml:space="preserve">description of where the economy </w:t>
      </w:r>
      <w:r w:rsidR="00C958F5" w:rsidRPr="003242E9">
        <w:rPr>
          <w:rFonts w:cs="Times New Roman"/>
          <w:sz w:val="24"/>
          <w:szCs w:val="24"/>
          <w:shd w:val="clear" w:color="auto" w:fill="FFFFFF"/>
        </w:rPr>
        <w:t xml:space="preserve">appears to be </w:t>
      </w:r>
      <w:r w:rsidR="00537BD5" w:rsidRPr="003242E9">
        <w:rPr>
          <w:rFonts w:cs="Times New Roman"/>
          <w:sz w:val="24"/>
          <w:szCs w:val="24"/>
          <w:shd w:val="clear" w:color="auto" w:fill="FFFFFF"/>
        </w:rPr>
        <w:t>heading</w:t>
      </w:r>
      <w:r w:rsidR="00C958F5" w:rsidRPr="003242E9">
        <w:rPr>
          <w:rFonts w:cs="Times New Roman"/>
          <w:sz w:val="24"/>
          <w:szCs w:val="24"/>
          <w:shd w:val="clear" w:color="auto" w:fill="FFFFFF"/>
        </w:rPr>
        <w:t>,</w:t>
      </w:r>
      <w:r w:rsidR="00537BD5" w:rsidRPr="003242E9">
        <w:rPr>
          <w:rFonts w:cs="Times New Roman"/>
          <w:sz w:val="24"/>
          <w:szCs w:val="24"/>
          <w:shd w:val="clear" w:color="auto" w:fill="FFFFFF"/>
        </w:rPr>
        <w:t xml:space="preserve"> based on assumptions about the setting of policy</w:t>
      </w:r>
      <w:r w:rsidR="00C958F5" w:rsidRPr="003242E9">
        <w:rPr>
          <w:rFonts w:cs="Times New Roman"/>
          <w:sz w:val="24"/>
          <w:szCs w:val="24"/>
          <w:shd w:val="clear" w:color="auto" w:fill="FFFFFF"/>
        </w:rPr>
        <w:t xml:space="preserve">. </w:t>
      </w:r>
      <w:r w:rsidR="00740482" w:rsidRPr="003242E9">
        <w:rPr>
          <w:rFonts w:cs="Times New Roman"/>
          <w:sz w:val="24"/>
          <w:szCs w:val="24"/>
          <w:shd w:val="clear" w:color="auto" w:fill="FFFFFF"/>
        </w:rPr>
        <w:t xml:space="preserve"> </w:t>
      </w:r>
      <w:r w:rsidR="00C958F5" w:rsidRPr="003242E9">
        <w:rPr>
          <w:rFonts w:cs="Times New Roman"/>
          <w:sz w:val="24"/>
          <w:szCs w:val="24"/>
          <w:shd w:val="clear" w:color="auto" w:fill="FFFFFF"/>
        </w:rPr>
        <w:t>A good forecast is not necessarily very accurate, but should set out a clear narrative</w:t>
      </w:r>
      <w:r w:rsidR="000A67E6" w:rsidRPr="003242E9">
        <w:rPr>
          <w:rFonts w:cs="Times New Roman"/>
          <w:sz w:val="24"/>
          <w:szCs w:val="24"/>
          <w:shd w:val="clear" w:color="auto" w:fill="FFFFFF"/>
        </w:rPr>
        <w:t xml:space="preserve"> of the central case together with an </w:t>
      </w:r>
      <w:r w:rsidR="00C958F5" w:rsidRPr="003242E9">
        <w:rPr>
          <w:rFonts w:cs="Times New Roman"/>
          <w:sz w:val="24"/>
          <w:szCs w:val="24"/>
          <w:shd w:val="clear" w:color="auto" w:fill="FFFFFF"/>
        </w:rPr>
        <w:t xml:space="preserve">assessment of </w:t>
      </w:r>
      <w:r w:rsidR="000A67E6" w:rsidRPr="003242E9">
        <w:rPr>
          <w:rFonts w:cs="Times New Roman"/>
          <w:sz w:val="24"/>
          <w:szCs w:val="24"/>
          <w:shd w:val="clear" w:color="auto" w:fill="FFFFFF"/>
        </w:rPr>
        <w:t xml:space="preserve">the uncertainty around it, identify the main risks to the outlook, and provide some indication of what would be their consequence if they were to materialise.  As such, the </w:t>
      </w:r>
      <w:r w:rsidR="00740482" w:rsidRPr="003242E9">
        <w:rPr>
          <w:rFonts w:cs="Times New Roman"/>
          <w:sz w:val="24"/>
          <w:szCs w:val="24"/>
          <w:shd w:val="clear" w:color="auto" w:fill="FFFFFF"/>
        </w:rPr>
        <w:t xml:space="preserve">main function of forecasts </w:t>
      </w:r>
      <w:r w:rsidR="002F7D62" w:rsidRPr="003242E9">
        <w:rPr>
          <w:rFonts w:cs="Times New Roman"/>
          <w:sz w:val="24"/>
          <w:szCs w:val="24"/>
          <w:shd w:val="clear" w:color="auto" w:fill="FFFFFF"/>
        </w:rPr>
        <w:t>themselves is ‘to provide a structure for an assessment of the current economic situation’ (</w:t>
      </w:r>
      <w:proofErr w:type="spellStart"/>
      <w:r w:rsidR="002F7D62" w:rsidRPr="003242E9">
        <w:rPr>
          <w:rFonts w:cs="Times New Roman"/>
          <w:sz w:val="24"/>
          <w:szCs w:val="24"/>
          <w:shd w:val="clear" w:color="auto" w:fill="FFFFFF"/>
        </w:rPr>
        <w:t>Weale</w:t>
      </w:r>
      <w:proofErr w:type="spellEnd"/>
      <w:r w:rsidR="002F7D62" w:rsidRPr="003242E9">
        <w:rPr>
          <w:rFonts w:cs="Times New Roman"/>
          <w:sz w:val="24"/>
          <w:szCs w:val="24"/>
          <w:shd w:val="clear" w:color="auto" w:fill="FFFFFF"/>
        </w:rPr>
        <w:t xml:space="preserve">, 1998).  </w:t>
      </w:r>
      <w:r w:rsidR="00406F14" w:rsidRPr="003242E9">
        <w:rPr>
          <w:rFonts w:cs="Times New Roman"/>
          <w:sz w:val="24"/>
          <w:szCs w:val="24"/>
          <w:shd w:val="clear" w:color="auto" w:fill="FFFFFF"/>
        </w:rPr>
        <w:t xml:space="preserve">That </w:t>
      </w:r>
      <w:r w:rsidR="007A11E7" w:rsidRPr="003242E9">
        <w:rPr>
          <w:rFonts w:cs="Times New Roman"/>
          <w:sz w:val="24"/>
          <w:szCs w:val="24"/>
          <w:shd w:val="clear" w:color="auto" w:fill="FFFFFF"/>
        </w:rPr>
        <w:t xml:space="preserve">assessment </w:t>
      </w:r>
      <w:r w:rsidR="00406F14" w:rsidRPr="003242E9">
        <w:rPr>
          <w:rFonts w:cs="Times New Roman"/>
          <w:sz w:val="24"/>
          <w:szCs w:val="24"/>
          <w:shd w:val="clear" w:color="auto" w:fill="FFFFFF"/>
        </w:rPr>
        <w:t xml:space="preserve">then </w:t>
      </w:r>
      <w:r w:rsidR="008377A6" w:rsidRPr="003242E9">
        <w:rPr>
          <w:rFonts w:cs="Times New Roman"/>
          <w:sz w:val="24"/>
          <w:szCs w:val="24"/>
          <w:shd w:val="clear" w:color="auto" w:fill="FFFFFF"/>
        </w:rPr>
        <w:t>point</w:t>
      </w:r>
      <w:r w:rsidR="00406F14" w:rsidRPr="003242E9">
        <w:rPr>
          <w:rFonts w:cs="Times New Roman"/>
          <w:sz w:val="24"/>
          <w:szCs w:val="24"/>
          <w:shd w:val="clear" w:color="auto" w:fill="FFFFFF"/>
        </w:rPr>
        <w:t>s</w:t>
      </w:r>
      <w:r w:rsidR="008377A6" w:rsidRPr="003242E9">
        <w:rPr>
          <w:rFonts w:cs="Times New Roman"/>
          <w:sz w:val="24"/>
          <w:szCs w:val="24"/>
          <w:shd w:val="clear" w:color="auto" w:fill="FFFFFF"/>
        </w:rPr>
        <w:t xml:space="preserve"> the way to possible changes in policy</w:t>
      </w:r>
      <w:r w:rsidR="003B05B6" w:rsidRPr="003242E9">
        <w:rPr>
          <w:rFonts w:cs="Times New Roman"/>
          <w:sz w:val="24"/>
          <w:szCs w:val="24"/>
          <w:shd w:val="clear" w:color="auto" w:fill="FFFFFF"/>
        </w:rPr>
        <w:t xml:space="preserve"> intended to improve </w:t>
      </w:r>
      <w:r w:rsidR="0000146C" w:rsidRPr="003242E9">
        <w:rPr>
          <w:rFonts w:cs="Times New Roman"/>
          <w:sz w:val="24"/>
          <w:szCs w:val="24"/>
          <w:shd w:val="clear" w:color="auto" w:fill="FFFFFF"/>
        </w:rPr>
        <w:t xml:space="preserve">economic performance and ultimately </w:t>
      </w:r>
      <w:r w:rsidR="003B05B6" w:rsidRPr="003242E9">
        <w:rPr>
          <w:rFonts w:cs="Times New Roman"/>
          <w:sz w:val="24"/>
          <w:szCs w:val="24"/>
          <w:shd w:val="clear" w:color="auto" w:fill="FFFFFF"/>
        </w:rPr>
        <w:t xml:space="preserve">people’s lives. </w:t>
      </w:r>
    </w:p>
    <w:p w:rsidR="00BD4DE7" w:rsidRPr="003242E9" w:rsidRDefault="008377A6" w:rsidP="003F7C6D">
      <w:pPr>
        <w:jc w:val="both"/>
        <w:rPr>
          <w:rFonts w:cs="Times New Roman"/>
          <w:sz w:val="24"/>
          <w:szCs w:val="24"/>
          <w:shd w:val="clear" w:color="auto" w:fill="FFFFFF"/>
        </w:rPr>
      </w:pPr>
      <w:r w:rsidRPr="003242E9">
        <w:rPr>
          <w:rFonts w:cs="Times New Roman"/>
          <w:sz w:val="24"/>
          <w:szCs w:val="24"/>
          <w:shd w:val="clear" w:color="auto" w:fill="FFFFFF"/>
        </w:rPr>
        <w:t xml:space="preserve">When the first economic forecasts were put together, ‘there was not much use of equations’ (Jones, 1998).  </w:t>
      </w:r>
      <w:r w:rsidR="00406F14" w:rsidRPr="003242E9">
        <w:rPr>
          <w:rFonts w:cs="Times New Roman"/>
          <w:sz w:val="24"/>
          <w:szCs w:val="24"/>
          <w:shd w:val="clear" w:color="auto" w:fill="FFFFFF"/>
        </w:rPr>
        <w:t>But this changed relatively quickly and the Institute became one of the first organisations in the U</w:t>
      </w:r>
      <w:r w:rsidR="0000146C" w:rsidRPr="003242E9">
        <w:rPr>
          <w:rFonts w:cs="Times New Roman"/>
          <w:sz w:val="24"/>
          <w:szCs w:val="24"/>
          <w:shd w:val="clear" w:color="auto" w:fill="FFFFFF"/>
        </w:rPr>
        <w:t xml:space="preserve">nited </w:t>
      </w:r>
      <w:r w:rsidR="00406F14" w:rsidRPr="003242E9">
        <w:rPr>
          <w:rFonts w:cs="Times New Roman"/>
          <w:sz w:val="24"/>
          <w:szCs w:val="24"/>
          <w:shd w:val="clear" w:color="auto" w:fill="FFFFFF"/>
        </w:rPr>
        <w:t>K</w:t>
      </w:r>
      <w:r w:rsidR="0000146C" w:rsidRPr="003242E9">
        <w:rPr>
          <w:rFonts w:cs="Times New Roman"/>
          <w:sz w:val="24"/>
          <w:szCs w:val="24"/>
          <w:shd w:val="clear" w:color="auto" w:fill="FFFFFF"/>
        </w:rPr>
        <w:t>ingdom</w:t>
      </w:r>
      <w:r w:rsidR="00406F14" w:rsidRPr="003242E9">
        <w:rPr>
          <w:rFonts w:cs="Times New Roman"/>
          <w:sz w:val="24"/>
          <w:szCs w:val="24"/>
          <w:shd w:val="clear" w:color="auto" w:fill="FFFFFF"/>
        </w:rPr>
        <w:t xml:space="preserve"> </w:t>
      </w:r>
      <w:r w:rsidR="0000146C" w:rsidRPr="003242E9">
        <w:rPr>
          <w:rFonts w:cs="Times New Roman"/>
          <w:sz w:val="24"/>
          <w:szCs w:val="24"/>
          <w:shd w:val="clear" w:color="auto" w:fill="FFFFFF"/>
        </w:rPr>
        <w:t xml:space="preserve">to build and develop a macroeconomic model.  </w:t>
      </w:r>
      <w:r w:rsidR="00BD4DE7" w:rsidRPr="003242E9">
        <w:rPr>
          <w:rFonts w:cs="Times New Roman"/>
          <w:sz w:val="24"/>
          <w:szCs w:val="24"/>
        </w:rPr>
        <w:t xml:space="preserve">Box 1 reproduces an early version of the Institute model (taken from Surrey, 1971).  This consists of ten behavioural equations and seven identities describing the UK economy.  </w:t>
      </w:r>
      <w:r w:rsidR="005F3081">
        <w:rPr>
          <w:rFonts w:cs="Times New Roman"/>
          <w:sz w:val="24"/>
          <w:szCs w:val="24"/>
        </w:rPr>
        <w:t xml:space="preserve">Today, it </w:t>
      </w:r>
      <w:r w:rsidR="00BD4DE7" w:rsidRPr="003242E9">
        <w:rPr>
          <w:rFonts w:cs="Times New Roman"/>
          <w:sz w:val="24"/>
          <w:szCs w:val="24"/>
        </w:rPr>
        <w:t xml:space="preserve">could be solved </w:t>
      </w:r>
      <w:r w:rsidR="005F3081">
        <w:rPr>
          <w:rFonts w:cs="Times New Roman"/>
          <w:sz w:val="24"/>
          <w:szCs w:val="24"/>
        </w:rPr>
        <w:t>within seconds on any personal computer</w:t>
      </w:r>
      <w:r w:rsidR="00BD4DE7" w:rsidRPr="003242E9">
        <w:rPr>
          <w:rFonts w:cs="Times New Roman"/>
          <w:sz w:val="24"/>
          <w:szCs w:val="24"/>
        </w:rPr>
        <w:t xml:space="preserve">.  But at the time it took considerable resources and creativity to develop and maintain a model of this type.  </w:t>
      </w:r>
    </w:p>
    <w:p w:rsidR="007A11E7" w:rsidRPr="003242E9" w:rsidRDefault="00BD4DE7" w:rsidP="003F7C6D">
      <w:pPr>
        <w:jc w:val="both"/>
        <w:rPr>
          <w:rFonts w:cs="Times New Roman"/>
          <w:sz w:val="24"/>
          <w:szCs w:val="24"/>
          <w:shd w:val="clear" w:color="auto" w:fill="FFFFFF"/>
        </w:rPr>
      </w:pPr>
      <w:r w:rsidRPr="003242E9">
        <w:rPr>
          <w:rFonts w:cs="Times New Roman"/>
          <w:sz w:val="24"/>
          <w:szCs w:val="24"/>
          <w:shd w:val="clear" w:color="auto" w:fill="FFFFFF"/>
        </w:rPr>
        <w:t xml:space="preserve">The original purpose of the model </w:t>
      </w:r>
      <w:r w:rsidRPr="003242E9">
        <w:rPr>
          <w:rFonts w:cs="Times New Roman"/>
          <w:sz w:val="24"/>
          <w:szCs w:val="24"/>
        </w:rPr>
        <w:t xml:space="preserve">was </w:t>
      </w:r>
      <w:r w:rsidR="0000146C" w:rsidRPr="003242E9">
        <w:rPr>
          <w:rFonts w:cs="Times New Roman"/>
          <w:sz w:val="24"/>
          <w:szCs w:val="24"/>
          <w:shd w:val="clear" w:color="auto" w:fill="FFFFFF"/>
        </w:rPr>
        <w:t xml:space="preserve">mainly </w:t>
      </w:r>
      <w:r w:rsidRPr="003242E9">
        <w:rPr>
          <w:rFonts w:cs="Times New Roman"/>
          <w:sz w:val="24"/>
          <w:szCs w:val="24"/>
          <w:shd w:val="clear" w:color="auto" w:fill="FFFFFF"/>
        </w:rPr>
        <w:t xml:space="preserve">to be </w:t>
      </w:r>
      <w:r w:rsidR="0000146C" w:rsidRPr="003242E9">
        <w:rPr>
          <w:rFonts w:cs="Times New Roman"/>
          <w:sz w:val="24"/>
          <w:szCs w:val="24"/>
          <w:shd w:val="clear" w:color="auto" w:fill="FFFFFF"/>
        </w:rPr>
        <w:t>a tool for producing economic forecasts</w:t>
      </w:r>
      <w:r w:rsidR="007A11E7" w:rsidRPr="003242E9">
        <w:rPr>
          <w:rFonts w:cs="Times New Roman"/>
          <w:sz w:val="24"/>
          <w:szCs w:val="24"/>
          <w:shd w:val="clear" w:color="auto" w:fill="FFFFFF"/>
        </w:rPr>
        <w:t>, and i</w:t>
      </w:r>
      <w:r w:rsidR="00DA4F21" w:rsidRPr="003242E9">
        <w:rPr>
          <w:rFonts w:cs="Times New Roman"/>
          <w:sz w:val="24"/>
          <w:szCs w:val="24"/>
          <w:shd w:val="clear" w:color="auto" w:fill="FFFFFF"/>
        </w:rPr>
        <w:t xml:space="preserve">n the early years there seemed to be some optimism that better modelling would lead to more accurate forecasts.  </w:t>
      </w:r>
      <w:r w:rsidR="007A11E7" w:rsidRPr="003242E9">
        <w:rPr>
          <w:rFonts w:cs="Times New Roman"/>
          <w:sz w:val="24"/>
          <w:szCs w:val="24"/>
          <w:shd w:val="clear" w:color="auto" w:fill="FFFFFF"/>
        </w:rPr>
        <w:t>But it was very soon understood by practitioners that while macroeconomic model</w:t>
      </w:r>
      <w:r w:rsidR="00740482" w:rsidRPr="003242E9">
        <w:rPr>
          <w:rFonts w:cs="Times New Roman"/>
          <w:sz w:val="24"/>
          <w:szCs w:val="24"/>
          <w:shd w:val="clear" w:color="auto" w:fill="FFFFFF"/>
        </w:rPr>
        <w:t>s</w:t>
      </w:r>
      <w:r w:rsidR="007A11E7" w:rsidRPr="003242E9">
        <w:rPr>
          <w:rFonts w:cs="Times New Roman"/>
          <w:sz w:val="24"/>
          <w:szCs w:val="24"/>
          <w:shd w:val="clear" w:color="auto" w:fill="FFFFFF"/>
        </w:rPr>
        <w:t xml:space="preserve"> might help in forecasting</w:t>
      </w:r>
      <w:r w:rsidR="000A67E6" w:rsidRPr="003242E9">
        <w:rPr>
          <w:rFonts w:cs="Times New Roman"/>
          <w:sz w:val="24"/>
          <w:szCs w:val="24"/>
          <w:shd w:val="clear" w:color="auto" w:fill="FFFFFF"/>
        </w:rPr>
        <w:t>,</w:t>
      </w:r>
      <w:r w:rsidR="007A11E7" w:rsidRPr="003242E9">
        <w:rPr>
          <w:rFonts w:cs="Times New Roman"/>
          <w:sz w:val="24"/>
          <w:szCs w:val="24"/>
          <w:shd w:val="clear" w:color="auto" w:fill="FFFFFF"/>
        </w:rPr>
        <w:t xml:space="preserve"> </w:t>
      </w:r>
      <w:r w:rsidR="00740482" w:rsidRPr="003242E9">
        <w:rPr>
          <w:rFonts w:cs="Times New Roman"/>
          <w:sz w:val="24"/>
          <w:szCs w:val="24"/>
          <w:shd w:val="clear" w:color="auto" w:fill="FFFFFF"/>
        </w:rPr>
        <w:t xml:space="preserve">their </w:t>
      </w:r>
      <w:r w:rsidR="007A11E7" w:rsidRPr="003242E9">
        <w:rPr>
          <w:rFonts w:cs="Times New Roman"/>
          <w:sz w:val="24"/>
          <w:szCs w:val="24"/>
          <w:shd w:val="clear" w:color="auto" w:fill="FFFFFF"/>
        </w:rPr>
        <w:t xml:space="preserve">main purpose is </w:t>
      </w:r>
      <w:r w:rsidR="00740482" w:rsidRPr="003242E9">
        <w:rPr>
          <w:rFonts w:cs="Times New Roman"/>
          <w:sz w:val="24"/>
          <w:szCs w:val="24"/>
          <w:shd w:val="clear" w:color="auto" w:fill="FFFFFF"/>
        </w:rPr>
        <w:t>as guides to understanding the drivers of economic progress and the effects of different policies</w:t>
      </w:r>
      <w:r w:rsidR="001D4C6C" w:rsidRPr="003242E9">
        <w:rPr>
          <w:rFonts w:cs="Times New Roman"/>
          <w:sz w:val="24"/>
          <w:szCs w:val="24"/>
          <w:shd w:val="clear" w:color="auto" w:fill="FFFFFF"/>
        </w:rPr>
        <w:t xml:space="preserve"> and other developments</w:t>
      </w:r>
      <w:r w:rsidR="00740482" w:rsidRPr="003242E9">
        <w:rPr>
          <w:rFonts w:cs="Times New Roman"/>
          <w:sz w:val="24"/>
          <w:szCs w:val="24"/>
          <w:shd w:val="clear" w:color="auto" w:fill="FFFFFF"/>
        </w:rPr>
        <w:t>: ‘t</w:t>
      </w:r>
      <w:r w:rsidR="007A11E7" w:rsidRPr="003242E9">
        <w:rPr>
          <w:rFonts w:cs="Times New Roman"/>
          <w:sz w:val="24"/>
          <w:szCs w:val="24"/>
        </w:rPr>
        <w:t>he aim of modelbuilding cannot be, and never has been, to devise a machine which will deliver a forecast free from error.  The aim is to understand the systematic relationships which influence employment, output and inflation consistently over the years’</w:t>
      </w:r>
      <w:r w:rsidR="00740482" w:rsidRPr="003242E9">
        <w:rPr>
          <w:rFonts w:cs="Times New Roman"/>
          <w:sz w:val="24"/>
          <w:szCs w:val="24"/>
        </w:rPr>
        <w:t xml:space="preserve"> (Britton, 1983).</w:t>
      </w:r>
      <w:r w:rsidR="007A11E7" w:rsidRPr="003242E9">
        <w:rPr>
          <w:rFonts w:cs="Times New Roman"/>
          <w:sz w:val="24"/>
          <w:szCs w:val="24"/>
        </w:rPr>
        <w:t xml:space="preserve">  </w:t>
      </w:r>
    </w:p>
    <w:p w:rsidR="002F7D62" w:rsidRPr="003242E9" w:rsidRDefault="002F7D62" w:rsidP="003F7C6D">
      <w:pPr>
        <w:jc w:val="both"/>
        <w:rPr>
          <w:rFonts w:cs="Times New Roman"/>
          <w:sz w:val="24"/>
          <w:szCs w:val="24"/>
        </w:rPr>
      </w:pPr>
      <w:r w:rsidRPr="003242E9">
        <w:rPr>
          <w:rFonts w:cs="Times New Roman"/>
          <w:sz w:val="24"/>
          <w:szCs w:val="24"/>
          <w:shd w:val="clear" w:color="auto" w:fill="FFFFFF"/>
        </w:rPr>
        <w:t>It was also recognised at an early stage that there needed to be a continuous process of modification and adaptation in the development of macroeconomic model</w:t>
      </w:r>
      <w:r w:rsidR="000A67E6" w:rsidRPr="003242E9">
        <w:rPr>
          <w:rFonts w:cs="Times New Roman"/>
          <w:sz w:val="24"/>
          <w:szCs w:val="24"/>
          <w:shd w:val="clear" w:color="auto" w:fill="FFFFFF"/>
        </w:rPr>
        <w:t>s</w:t>
      </w:r>
      <w:r w:rsidRPr="003242E9">
        <w:rPr>
          <w:rFonts w:cs="Times New Roman"/>
          <w:sz w:val="24"/>
          <w:szCs w:val="24"/>
          <w:shd w:val="clear" w:color="auto" w:fill="FFFFFF"/>
        </w:rPr>
        <w:t>: ‘</w:t>
      </w:r>
      <w:r w:rsidRPr="003242E9">
        <w:rPr>
          <w:rFonts w:cs="Times New Roman"/>
          <w:sz w:val="24"/>
          <w:szCs w:val="24"/>
        </w:rPr>
        <w:t>Ideally one might envisage the process of model building as a journey through the economy in which successive structural relationships were firmly pinned down by research, so that a model increasing in size and sensitivity could be steadily constructed’ (</w:t>
      </w:r>
      <w:proofErr w:type="spellStart"/>
      <w:r w:rsidRPr="003242E9">
        <w:rPr>
          <w:rFonts w:cs="Times New Roman"/>
          <w:sz w:val="24"/>
          <w:szCs w:val="24"/>
        </w:rPr>
        <w:t>Worswick</w:t>
      </w:r>
      <w:proofErr w:type="spellEnd"/>
      <w:r w:rsidRPr="003242E9">
        <w:rPr>
          <w:rFonts w:cs="Times New Roman"/>
          <w:sz w:val="24"/>
          <w:szCs w:val="24"/>
        </w:rPr>
        <w:t>, 1971).</w:t>
      </w:r>
    </w:p>
    <w:p w:rsidR="000E7F9E" w:rsidRPr="003242E9" w:rsidRDefault="002F7D62" w:rsidP="003F7C6D">
      <w:pPr>
        <w:jc w:val="both"/>
        <w:rPr>
          <w:rFonts w:cs="Times New Roman"/>
          <w:sz w:val="24"/>
          <w:szCs w:val="24"/>
        </w:rPr>
      </w:pPr>
      <w:r w:rsidRPr="003242E9">
        <w:rPr>
          <w:rFonts w:cs="Times New Roman"/>
          <w:sz w:val="24"/>
          <w:szCs w:val="24"/>
        </w:rPr>
        <w:t>Th</w:t>
      </w:r>
      <w:r w:rsidR="000E7F9E" w:rsidRPr="003242E9">
        <w:rPr>
          <w:rFonts w:cs="Times New Roman"/>
          <w:sz w:val="24"/>
          <w:szCs w:val="24"/>
        </w:rPr>
        <w:t xml:space="preserve">e </w:t>
      </w:r>
      <w:r w:rsidR="00BD4DE7" w:rsidRPr="003242E9">
        <w:rPr>
          <w:rFonts w:cs="Times New Roman"/>
          <w:sz w:val="24"/>
          <w:szCs w:val="24"/>
        </w:rPr>
        <w:t xml:space="preserve">accompanying </w:t>
      </w:r>
      <w:r w:rsidR="000E7F9E" w:rsidRPr="003242E9">
        <w:rPr>
          <w:rFonts w:cs="Times New Roman"/>
          <w:sz w:val="24"/>
          <w:szCs w:val="24"/>
        </w:rPr>
        <w:t xml:space="preserve">article </w:t>
      </w:r>
      <w:r w:rsidR="00BD4DE7" w:rsidRPr="003242E9">
        <w:rPr>
          <w:rFonts w:cs="Times New Roman"/>
          <w:sz w:val="24"/>
          <w:szCs w:val="24"/>
        </w:rPr>
        <w:t>by Stephen Hall and Brian Henry</w:t>
      </w:r>
      <w:r w:rsidR="000E7F9E" w:rsidRPr="003242E9">
        <w:rPr>
          <w:rFonts w:cs="Times New Roman"/>
          <w:sz w:val="24"/>
          <w:szCs w:val="24"/>
        </w:rPr>
        <w:t xml:space="preserve"> </w:t>
      </w:r>
      <w:r w:rsidR="00511924" w:rsidRPr="003242E9">
        <w:rPr>
          <w:rFonts w:cs="Times New Roman"/>
          <w:sz w:val="24"/>
          <w:szCs w:val="24"/>
        </w:rPr>
        <w:t xml:space="preserve">describes </w:t>
      </w:r>
      <w:r w:rsidR="000E7F9E" w:rsidRPr="003242E9">
        <w:rPr>
          <w:rFonts w:cs="Times New Roman"/>
          <w:sz w:val="24"/>
          <w:szCs w:val="24"/>
        </w:rPr>
        <w:t xml:space="preserve">part of the Institute’s model building </w:t>
      </w:r>
      <w:r w:rsidRPr="003242E9">
        <w:rPr>
          <w:rFonts w:cs="Times New Roman"/>
          <w:sz w:val="24"/>
          <w:szCs w:val="24"/>
        </w:rPr>
        <w:t>journey</w:t>
      </w:r>
      <w:r w:rsidR="000E7F9E" w:rsidRPr="003242E9">
        <w:rPr>
          <w:rFonts w:cs="Times New Roman"/>
          <w:sz w:val="24"/>
          <w:szCs w:val="24"/>
        </w:rPr>
        <w:t xml:space="preserve">, focusing mainly on </w:t>
      </w:r>
      <w:r w:rsidR="007C515F" w:rsidRPr="003242E9">
        <w:rPr>
          <w:rFonts w:cs="Times New Roman"/>
          <w:sz w:val="24"/>
          <w:szCs w:val="24"/>
        </w:rPr>
        <w:t xml:space="preserve">work undertaken up to 1987 </w:t>
      </w:r>
      <w:r w:rsidR="000E7F9E" w:rsidRPr="003242E9">
        <w:rPr>
          <w:rFonts w:cs="Times New Roman"/>
          <w:sz w:val="24"/>
          <w:szCs w:val="24"/>
        </w:rPr>
        <w:t xml:space="preserve">when they were colleagues </w:t>
      </w:r>
      <w:r w:rsidR="00511924" w:rsidRPr="003242E9">
        <w:rPr>
          <w:rFonts w:cs="Times New Roman"/>
          <w:sz w:val="24"/>
          <w:szCs w:val="24"/>
        </w:rPr>
        <w:t xml:space="preserve">at </w:t>
      </w:r>
      <w:r w:rsidR="00DC576A" w:rsidRPr="003242E9">
        <w:rPr>
          <w:rFonts w:cs="Times New Roman"/>
          <w:sz w:val="24"/>
          <w:szCs w:val="24"/>
        </w:rPr>
        <w:t>the Institute</w:t>
      </w:r>
      <w:r w:rsidR="0063235F" w:rsidRPr="003242E9">
        <w:rPr>
          <w:rFonts w:cs="Times New Roman"/>
          <w:sz w:val="24"/>
          <w:szCs w:val="24"/>
        </w:rPr>
        <w:t>, after which</w:t>
      </w:r>
      <w:r w:rsidR="007C515F" w:rsidRPr="003242E9">
        <w:rPr>
          <w:rFonts w:cs="Times New Roman"/>
          <w:sz w:val="24"/>
          <w:szCs w:val="24"/>
        </w:rPr>
        <w:t xml:space="preserve"> they left </w:t>
      </w:r>
      <w:r w:rsidR="005F3081">
        <w:rPr>
          <w:rFonts w:cs="Times New Roman"/>
          <w:sz w:val="24"/>
          <w:szCs w:val="24"/>
        </w:rPr>
        <w:t xml:space="preserve">to join the </w:t>
      </w:r>
      <w:r w:rsidR="007C515F" w:rsidRPr="003242E9">
        <w:rPr>
          <w:rFonts w:cs="Times New Roman"/>
          <w:sz w:val="24"/>
          <w:szCs w:val="24"/>
        </w:rPr>
        <w:t>Bank</w:t>
      </w:r>
      <w:r w:rsidR="005F3081">
        <w:rPr>
          <w:rFonts w:cs="Times New Roman"/>
          <w:sz w:val="24"/>
          <w:szCs w:val="24"/>
        </w:rPr>
        <w:t xml:space="preserve"> of England</w:t>
      </w:r>
      <w:r w:rsidR="000E7F9E" w:rsidRPr="003242E9">
        <w:rPr>
          <w:rFonts w:cs="Times New Roman"/>
          <w:sz w:val="24"/>
          <w:szCs w:val="24"/>
        </w:rPr>
        <w:t>.  During this time, they made many important contributions, including the introduction of rational expectations into the model</w:t>
      </w:r>
      <w:r w:rsidR="0063235F" w:rsidRPr="003242E9">
        <w:rPr>
          <w:rFonts w:cs="Times New Roman"/>
          <w:sz w:val="24"/>
          <w:szCs w:val="24"/>
        </w:rPr>
        <w:t xml:space="preserve">. This period </w:t>
      </w:r>
      <w:r w:rsidR="007C515F" w:rsidRPr="003242E9">
        <w:rPr>
          <w:rFonts w:cs="Times New Roman"/>
          <w:sz w:val="24"/>
          <w:szCs w:val="24"/>
        </w:rPr>
        <w:t>also saw a major departure in focus when Andrew Britton and Simon Wren Lewis took on the former Treasury and Bank world model in 1986 to use it for forecasts and research</w:t>
      </w:r>
      <w:r w:rsidR="000E7F9E" w:rsidRPr="003242E9">
        <w:rPr>
          <w:rFonts w:cs="Times New Roman"/>
          <w:sz w:val="24"/>
          <w:szCs w:val="24"/>
        </w:rPr>
        <w:t>.</w:t>
      </w:r>
      <w:r w:rsidR="007C515F" w:rsidRPr="003242E9">
        <w:rPr>
          <w:rFonts w:cs="Times New Roman"/>
          <w:sz w:val="24"/>
          <w:szCs w:val="24"/>
        </w:rPr>
        <w:t xml:space="preserve"> This decision reflected the need to take account of the increasing openness of the UK economy and the importance of understanding globalisation and its impacts. The first global forecast was published </w:t>
      </w:r>
      <w:r w:rsidR="0021169B">
        <w:rPr>
          <w:rFonts w:cs="Times New Roman"/>
          <w:sz w:val="24"/>
          <w:szCs w:val="24"/>
        </w:rPr>
        <w:t xml:space="preserve">by the Institute </w:t>
      </w:r>
      <w:r w:rsidR="007C515F" w:rsidRPr="003242E9">
        <w:rPr>
          <w:rFonts w:cs="Times New Roman"/>
          <w:sz w:val="24"/>
          <w:szCs w:val="24"/>
        </w:rPr>
        <w:t xml:space="preserve">in 1987 and this aspect of the Institute’s work has continually increased in importance since that date.  </w:t>
      </w:r>
      <w:r w:rsidR="000E7F9E" w:rsidRPr="003242E9">
        <w:rPr>
          <w:rFonts w:cs="Times New Roman"/>
          <w:sz w:val="24"/>
          <w:szCs w:val="24"/>
        </w:rPr>
        <w:t xml:space="preserve">  </w:t>
      </w:r>
    </w:p>
    <w:p w:rsidR="00681483" w:rsidRPr="003242E9" w:rsidRDefault="000E7F9E" w:rsidP="003F7C6D">
      <w:pPr>
        <w:jc w:val="both"/>
        <w:rPr>
          <w:rFonts w:cs="Times New Roman"/>
          <w:sz w:val="24"/>
          <w:szCs w:val="24"/>
        </w:rPr>
      </w:pPr>
      <w:r w:rsidRPr="003242E9">
        <w:rPr>
          <w:rFonts w:cs="Times New Roman"/>
          <w:sz w:val="24"/>
          <w:szCs w:val="24"/>
        </w:rPr>
        <w:t xml:space="preserve">This article </w:t>
      </w:r>
      <w:r w:rsidR="00EA30D6" w:rsidRPr="003242E9">
        <w:rPr>
          <w:rFonts w:cs="Times New Roman"/>
          <w:sz w:val="24"/>
          <w:szCs w:val="24"/>
        </w:rPr>
        <w:t>describes the ne</w:t>
      </w:r>
      <w:r w:rsidR="007C515F" w:rsidRPr="003242E9">
        <w:rPr>
          <w:rFonts w:cs="Times New Roman"/>
          <w:sz w:val="24"/>
          <w:szCs w:val="24"/>
        </w:rPr>
        <w:t xml:space="preserve">w </w:t>
      </w:r>
      <w:r w:rsidR="00EA30D6" w:rsidRPr="003242E9">
        <w:rPr>
          <w:rFonts w:cs="Times New Roman"/>
          <w:sz w:val="24"/>
          <w:szCs w:val="24"/>
        </w:rPr>
        <w:t xml:space="preserve">journey </w:t>
      </w:r>
      <w:r w:rsidR="007C515F" w:rsidRPr="003242E9">
        <w:rPr>
          <w:rFonts w:cs="Times New Roman"/>
          <w:sz w:val="24"/>
          <w:szCs w:val="24"/>
        </w:rPr>
        <w:t xml:space="preserve">into studying the UK in a global context that started in the late </w:t>
      </w:r>
      <w:r w:rsidRPr="003242E9">
        <w:rPr>
          <w:rFonts w:cs="Times New Roman"/>
          <w:sz w:val="24"/>
          <w:szCs w:val="24"/>
        </w:rPr>
        <w:t>1980s</w:t>
      </w:r>
      <w:r w:rsidR="007C515F" w:rsidRPr="003242E9">
        <w:rPr>
          <w:rFonts w:cs="Times New Roman"/>
          <w:sz w:val="24"/>
          <w:szCs w:val="24"/>
        </w:rPr>
        <w:t>. Ray Barrell,</w:t>
      </w:r>
      <w:r w:rsidR="00EA30D6" w:rsidRPr="003242E9">
        <w:rPr>
          <w:rFonts w:cs="Times New Roman"/>
          <w:sz w:val="24"/>
          <w:szCs w:val="24"/>
        </w:rPr>
        <w:t xml:space="preserve"> Nigel Pain and Peter Westaway</w:t>
      </w:r>
      <w:r w:rsidR="007C515F" w:rsidRPr="003242E9">
        <w:rPr>
          <w:rFonts w:cs="Times New Roman"/>
          <w:sz w:val="24"/>
          <w:szCs w:val="24"/>
        </w:rPr>
        <w:t xml:space="preserve"> </w:t>
      </w:r>
      <w:r w:rsidR="00EA30D6" w:rsidRPr="003242E9">
        <w:rPr>
          <w:rFonts w:cs="Times New Roman"/>
          <w:sz w:val="24"/>
          <w:szCs w:val="24"/>
        </w:rPr>
        <w:t xml:space="preserve">joined the Institute from the </w:t>
      </w:r>
      <w:r w:rsidR="00EA30D6" w:rsidRPr="003242E9">
        <w:rPr>
          <w:rFonts w:cs="Times New Roman"/>
          <w:sz w:val="24"/>
          <w:szCs w:val="24"/>
        </w:rPr>
        <w:lastRenderedPageBreak/>
        <w:t>Treasury</w:t>
      </w:r>
      <w:r w:rsidR="007C515F" w:rsidRPr="003242E9">
        <w:rPr>
          <w:rFonts w:cs="Times New Roman"/>
          <w:sz w:val="24"/>
          <w:szCs w:val="24"/>
        </w:rPr>
        <w:t xml:space="preserve"> in 1988 and Garry Young and </w:t>
      </w:r>
      <w:r w:rsidR="004005C4" w:rsidRPr="003242E9">
        <w:rPr>
          <w:rFonts w:cs="Times New Roman"/>
          <w:sz w:val="24"/>
          <w:szCs w:val="24"/>
        </w:rPr>
        <w:t>Andy Blake joined them in 1990 when Simon Wren Lewis moved to a university chair</w:t>
      </w:r>
      <w:r w:rsidR="005F3081">
        <w:rPr>
          <w:rFonts w:cs="Times New Roman"/>
          <w:sz w:val="24"/>
          <w:szCs w:val="24"/>
        </w:rPr>
        <w:t>.</w:t>
      </w:r>
      <w:r w:rsidR="004005C4" w:rsidRPr="003242E9">
        <w:rPr>
          <w:rStyle w:val="FootnoteReference"/>
          <w:rFonts w:cs="Times New Roman"/>
          <w:sz w:val="24"/>
          <w:szCs w:val="24"/>
        </w:rPr>
        <w:footnoteReference w:id="3"/>
      </w:r>
      <w:r w:rsidR="00EA30D6" w:rsidRPr="003242E9">
        <w:rPr>
          <w:rFonts w:cs="Times New Roman"/>
          <w:sz w:val="24"/>
          <w:szCs w:val="24"/>
        </w:rPr>
        <w:t xml:space="preserve">  </w:t>
      </w:r>
      <w:r w:rsidR="00577D0C" w:rsidRPr="003242E9">
        <w:rPr>
          <w:rFonts w:cs="Times New Roman"/>
          <w:sz w:val="24"/>
          <w:szCs w:val="24"/>
        </w:rPr>
        <w:t xml:space="preserve">Coming from the Treasury, </w:t>
      </w:r>
      <w:r w:rsidR="004005C4" w:rsidRPr="003242E9">
        <w:rPr>
          <w:rFonts w:cs="Times New Roman"/>
          <w:sz w:val="24"/>
          <w:szCs w:val="24"/>
        </w:rPr>
        <w:t xml:space="preserve">this group </w:t>
      </w:r>
      <w:r w:rsidR="00577D0C" w:rsidRPr="003242E9">
        <w:rPr>
          <w:rFonts w:cs="Times New Roman"/>
          <w:sz w:val="24"/>
          <w:szCs w:val="24"/>
        </w:rPr>
        <w:t xml:space="preserve">were naturally interested </w:t>
      </w:r>
      <w:r w:rsidR="00681483" w:rsidRPr="003242E9">
        <w:rPr>
          <w:rFonts w:cs="Times New Roman"/>
          <w:sz w:val="24"/>
          <w:szCs w:val="24"/>
        </w:rPr>
        <w:t xml:space="preserve">in economic policy and how it could affect the economy.  </w:t>
      </w:r>
      <w:r w:rsidR="00EA30D6" w:rsidRPr="003242E9">
        <w:rPr>
          <w:rFonts w:cs="Times New Roman"/>
          <w:sz w:val="24"/>
          <w:szCs w:val="24"/>
        </w:rPr>
        <w:t xml:space="preserve">At the Treasury </w:t>
      </w:r>
      <w:r w:rsidR="005F3081">
        <w:rPr>
          <w:rFonts w:cs="Times New Roman"/>
          <w:sz w:val="24"/>
          <w:szCs w:val="24"/>
        </w:rPr>
        <w:t xml:space="preserve">they </w:t>
      </w:r>
      <w:r w:rsidR="00EA30D6" w:rsidRPr="003242E9">
        <w:rPr>
          <w:rFonts w:cs="Times New Roman"/>
          <w:sz w:val="24"/>
          <w:szCs w:val="24"/>
        </w:rPr>
        <w:t>had learned</w:t>
      </w:r>
      <w:r w:rsidR="00831130" w:rsidRPr="003242E9">
        <w:rPr>
          <w:rFonts w:cs="Times New Roman"/>
          <w:sz w:val="24"/>
          <w:szCs w:val="24"/>
        </w:rPr>
        <w:t xml:space="preserve">, from Chris </w:t>
      </w:r>
      <w:proofErr w:type="spellStart"/>
      <w:r w:rsidR="00831130" w:rsidRPr="003242E9">
        <w:rPr>
          <w:rFonts w:cs="Times New Roman"/>
          <w:sz w:val="24"/>
          <w:szCs w:val="24"/>
        </w:rPr>
        <w:t>Melliss</w:t>
      </w:r>
      <w:proofErr w:type="spellEnd"/>
      <w:r w:rsidR="00831130" w:rsidRPr="003242E9">
        <w:rPr>
          <w:rFonts w:cs="Times New Roman"/>
          <w:sz w:val="24"/>
          <w:szCs w:val="24"/>
        </w:rPr>
        <w:t>, Rod Whitaker and others,</w:t>
      </w:r>
      <w:r w:rsidR="00EA30D6" w:rsidRPr="003242E9">
        <w:rPr>
          <w:rFonts w:cs="Times New Roman"/>
          <w:sz w:val="24"/>
          <w:szCs w:val="24"/>
        </w:rPr>
        <w:t xml:space="preserve"> the importance of </w:t>
      </w:r>
      <w:r w:rsidR="00A61775" w:rsidRPr="003242E9">
        <w:rPr>
          <w:rFonts w:cs="Times New Roman"/>
          <w:sz w:val="24"/>
          <w:szCs w:val="24"/>
        </w:rPr>
        <w:t xml:space="preserve">constructing models that not only fitted the data, but also had </w:t>
      </w:r>
      <w:r w:rsidR="00831130" w:rsidRPr="003242E9">
        <w:rPr>
          <w:rFonts w:cs="Times New Roman"/>
          <w:sz w:val="24"/>
          <w:szCs w:val="24"/>
        </w:rPr>
        <w:t>‘</w:t>
      </w:r>
      <w:r w:rsidR="00A61775" w:rsidRPr="003242E9">
        <w:rPr>
          <w:rFonts w:cs="Times New Roman"/>
          <w:sz w:val="24"/>
          <w:szCs w:val="24"/>
        </w:rPr>
        <w:t>sensible</w:t>
      </w:r>
      <w:r w:rsidR="00831130" w:rsidRPr="003242E9">
        <w:rPr>
          <w:rFonts w:cs="Times New Roman"/>
          <w:sz w:val="24"/>
          <w:szCs w:val="24"/>
        </w:rPr>
        <w:t>’</w:t>
      </w:r>
      <w:r w:rsidR="00A61775" w:rsidRPr="003242E9">
        <w:rPr>
          <w:rFonts w:cs="Times New Roman"/>
          <w:sz w:val="24"/>
          <w:szCs w:val="24"/>
        </w:rPr>
        <w:t xml:space="preserve"> overall model properties.  </w:t>
      </w:r>
      <w:r w:rsidR="00831130" w:rsidRPr="003242E9">
        <w:rPr>
          <w:rFonts w:cs="Times New Roman"/>
          <w:sz w:val="24"/>
          <w:szCs w:val="24"/>
        </w:rPr>
        <w:t>In practice t</w:t>
      </w:r>
      <w:r w:rsidR="00A61775" w:rsidRPr="003242E9">
        <w:rPr>
          <w:rFonts w:cs="Times New Roman"/>
          <w:sz w:val="24"/>
          <w:szCs w:val="24"/>
        </w:rPr>
        <w:t>his meant that</w:t>
      </w:r>
      <w:r w:rsidR="00831130" w:rsidRPr="003242E9">
        <w:rPr>
          <w:rFonts w:cs="Times New Roman"/>
          <w:sz w:val="24"/>
          <w:szCs w:val="24"/>
        </w:rPr>
        <w:t>,</w:t>
      </w:r>
      <w:r w:rsidR="00A61775" w:rsidRPr="003242E9">
        <w:rPr>
          <w:rFonts w:cs="Times New Roman"/>
          <w:sz w:val="24"/>
          <w:szCs w:val="24"/>
        </w:rPr>
        <w:t xml:space="preserve"> </w:t>
      </w:r>
      <w:r w:rsidR="00831130" w:rsidRPr="003242E9">
        <w:rPr>
          <w:rFonts w:cs="Times New Roman"/>
          <w:sz w:val="24"/>
          <w:szCs w:val="24"/>
        </w:rPr>
        <w:t xml:space="preserve">in response to shocks, </w:t>
      </w:r>
      <w:r w:rsidR="00A61775" w:rsidRPr="003242E9">
        <w:rPr>
          <w:rFonts w:cs="Times New Roman"/>
          <w:sz w:val="24"/>
          <w:szCs w:val="24"/>
        </w:rPr>
        <w:t xml:space="preserve">the </w:t>
      </w:r>
      <w:r w:rsidR="00831130" w:rsidRPr="003242E9">
        <w:rPr>
          <w:rFonts w:cs="Times New Roman"/>
          <w:sz w:val="24"/>
          <w:szCs w:val="24"/>
        </w:rPr>
        <w:t xml:space="preserve">models should display smooth dynamic adjustment to long-run solutions that were consistent with </w:t>
      </w:r>
      <w:r w:rsidR="004005C4" w:rsidRPr="003242E9">
        <w:rPr>
          <w:rFonts w:cs="Times New Roman"/>
          <w:sz w:val="24"/>
          <w:szCs w:val="24"/>
        </w:rPr>
        <w:t xml:space="preserve">the </w:t>
      </w:r>
      <w:r w:rsidR="00831130" w:rsidRPr="003242E9">
        <w:rPr>
          <w:rFonts w:cs="Times New Roman"/>
          <w:sz w:val="24"/>
          <w:szCs w:val="24"/>
        </w:rPr>
        <w:t>well-understood text-book economics</w:t>
      </w:r>
      <w:r w:rsidR="004005C4" w:rsidRPr="003242E9">
        <w:rPr>
          <w:rFonts w:cs="Times New Roman"/>
          <w:sz w:val="24"/>
          <w:szCs w:val="24"/>
        </w:rPr>
        <w:t xml:space="preserve"> that some of </w:t>
      </w:r>
      <w:r w:rsidR="005F3081">
        <w:rPr>
          <w:rFonts w:cs="Times New Roman"/>
          <w:sz w:val="24"/>
          <w:szCs w:val="24"/>
        </w:rPr>
        <w:t xml:space="preserve">them </w:t>
      </w:r>
      <w:r w:rsidR="007F017C" w:rsidRPr="003242E9">
        <w:rPr>
          <w:rFonts w:cs="Times New Roman"/>
          <w:sz w:val="24"/>
          <w:szCs w:val="24"/>
        </w:rPr>
        <w:t>h</w:t>
      </w:r>
      <w:r w:rsidR="004005C4" w:rsidRPr="003242E9">
        <w:rPr>
          <w:rFonts w:cs="Times New Roman"/>
          <w:sz w:val="24"/>
          <w:szCs w:val="24"/>
        </w:rPr>
        <w:t>ad also taught at university</w:t>
      </w:r>
      <w:r w:rsidR="00831130" w:rsidRPr="003242E9">
        <w:rPr>
          <w:rFonts w:cs="Times New Roman"/>
          <w:sz w:val="24"/>
          <w:szCs w:val="24"/>
        </w:rPr>
        <w:t xml:space="preserve">.  This background influenced how we </w:t>
      </w:r>
      <w:r w:rsidR="004005C4" w:rsidRPr="003242E9">
        <w:rPr>
          <w:rFonts w:cs="Times New Roman"/>
          <w:sz w:val="24"/>
          <w:szCs w:val="24"/>
        </w:rPr>
        <w:t xml:space="preserve">and the others </w:t>
      </w:r>
      <w:r w:rsidR="00831130" w:rsidRPr="003242E9">
        <w:rPr>
          <w:rFonts w:cs="Times New Roman"/>
          <w:sz w:val="24"/>
          <w:szCs w:val="24"/>
        </w:rPr>
        <w:t>approached macroeconomic modelling during our time at the Institute</w:t>
      </w:r>
      <w:r w:rsidR="00577D0C" w:rsidRPr="003242E9">
        <w:rPr>
          <w:rFonts w:cs="Times New Roman"/>
          <w:sz w:val="24"/>
          <w:szCs w:val="24"/>
        </w:rPr>
        <w:t xml:space="preserve">, and encouraged a focus on the </w:t>
      </w:r>
      <w:r w:rsidR="00681483" w:rsidRPr="003242E9">
        <w:rPr>
          <w:rFonts w:cs="Times New Roman"/>
          <w:sz w:val="24"/>
          <w:szCs w:val="24"/>
        </w:rPr>
        <w:t xml:space="preserve">long-run properties of the model, including the </w:t>
      </w:r>
      <w:r w:rsidR="00577D0C" w:rsidRPr="003242E9">
        <w:rPr>
          <w:rFonts w:cs="Times New Roman"/>
          <w:sz w:val="24"/>
          <w:szCs w:val="24"/>
        </w:rPr>
        <w:t>specification of the supply-side of the model</w:t>
      </w:r>
      <w:r w:rsidR="00681483" w:rsidRPr="003242E9">
        <w:rPr>
          <w:rFonts w:cs="Times New Roman"/>
          <w:sz w:val="24"/>
          <w:szCs w:val="24"/>
        </w:rPr>
        <w:t xml:space="preserve">. </w:t>
      </w:r>
      <w:r w:rsidR="004005C4" w:rsidRPr="003242E9">
        <w:rPr>
          <w:rFonts w:cs="Times New Roman"/>
          <w:sz w:val="24"/>
          <w:szCs w:val="24"/>
        </w:rPr>
        <w:t>The combination of the introduction of wealth effects and stocks of assets owned and owed abroad along with the impact of the capital stock on the supply side of the models meant that adjustment time to long run equilibria was extended</w:t>
      </w:r>
      <w:r w:rsidR="007F017C" w:rsidRPr="003242E9">
        <w:rPr>
          <w:rFonts w:cs="Times New Roman"/>
          <w:sz w:val="24"/>
          <w:szCs w:val="24"/>
        </w:rPr>
        <w:t xml:space="preserve"> in the new generation of models</w:t>
      </w:r>
      <w:r w:rsidR="004005C4" w:rsidRPr="003242E9">
        <w:rPr>
          <w:rFonts w:cs="Times New Roman"/>
          <w:sz w:val="24"/>
          <w:szCs w:val="24"/>
        </w:rPr>
        <w:t xml:space="preserve">, and this required much longer forecast horizons </w:t>
      </w:r>
      <w:r w:rsidR="007F017C" w:rsidRPr="003242E9">
        <w:rPr>
          <w:rFonts w:cs="Times New Roman"/>
          <w:sz w:val="24"/>
          <w:szCs w:val="24"/>
        </w:rPr>
        <w:t>than previously</w:t>
      </w:r>
      <w:r w:rsidR="0063235F" w:rsidRPr="003242E9">
        <w:rPr>
          <w:rFonts w:cs="Times New Roman"/>
          <w:sz w:val="24"/>
          <w:szCs w:val="24"/>
        </w:rPr>
        <w:t>,</w:t>
      </w:r>
      <w:r w:rsidR="007F017C" w:rsidRPr="003242E9">
        <w:rPr>
          <w:rFonts w:cs="Times New Roman"/>
          <w:sz w:val="24"/>
          <w:szCs w:val="24"/>
        </w:rPr>
        <w:t xml:space="preserve"> </w:t>
      </w:r>
      <w:r w:rsidR="004005C4" w:rsidRPr="003242E9">
        <w:rPr>
          <w:rFonts w:cs="Times New Roman"/>
          <w:sz w:val="24"/>
          <w:szCs w:val="24"/>
        </w:rPr>
        <w:t xml:space="preserve">and </w:t>
      </w:r>
      <w:r w:rsidR="0063235F" w:rsidRPr="003242E9">
        <w:rPr>
          <w:rFonts w:cs="Times New Roman"/>
          <w:sz w:val="24"/>
          <w:szCs w:val="24"/>
        </w:rPr>
        <w:t xml:space="preserve">also meant that there had to be </w:t>
      </w:r>
      <w:r w:rsidR="004005C4" w:rsidRPr="003242E9">
        <w:rPr>
          <w:rFonts w:cs="Times New Roman"/>
          <w:sz w:val="24"/>
          <w:szCs w:val="24"/>
        </w:rPr>
        <w:t xml:space="preserve">significant changes to the solution software developed by Stephen Hall in the 1980s. </w:t>
      </w:r>
      <w:r w:rsidR="00831130" w:rsidRPr="003242E9">
        <w:rPr>
          <w:rFonts w:cs="Times New Roman"/>
          <w:sz w:val="24"/>
          <w:szCs w:val="24"/>
        </w:rPr>
        <w:t xml:space="preserve"> </w:t>
      </w:r>
    </w:p>
    <w:p w:rsidR="0063235F" w:rsidRPr="003242E9" w:rsidRDefault="00FB3666" w:rsidP="00112F6D">
      <w:pPr>
        <w:jc w:val="both"/>
        <w:rPr>
          <w:rFonts w:cs="Times New Roman"/>
          <w:sz w:val="24"/>
          <w:szCs w:val="24"/>
        </w:rPr>
      </w:pPr>
      <w:r w:rsidRPr="003242E9">
        <w:rPr>
          <w:rFonts w:cs="Times New Roman"/>
          <w:sz w:val="24"/>
          <w:szCs w:val="24"/>
        </w:rPr>
        <w:t xml:space="preserve">There </w:t>
      </w:r>
      <w:r w:rsidR="00912F9C" w:rsidRPr="003242E9">
        <w:rPr>
          <w:rFonts w:cs="Times New Roman"/>
          <w:sz w:val="24"/>
          <w:szCs w:val="24"/>
        </w:rPr>
        <w:t xml:space="preserve">have been </w:t>
      </w:r>
      <w:r w:rsidRPr="003242E9">
        <w:rPr>
          <w:rFonts w:cs="Times New Roman"/>
          <w:sz w:val="24"/>
          <w:szCs w:val="24"/>
        </w:rPr>
        <w:t xml:space="preserve">other influences on how </w:t>
      </w:r>
      <w:r w:rsidR="004F74A0" w:rsidRPr="003242E9">
        <w:rPr>
          <w:rFonts w:cs="Times New Roman"/>
          <w:sz w:val="24"/>
          <w:szCs w:val="24"/>
        </w:rPr>
        <w:t>macro</w:t>
      </w:r>
      <w:r w:rsidRPr="003242E9">
        <w:rPr>
          <w:rFonts w:cs="Times New Roman"/>
          <w:sz w:val="24"/>
          <w:szCs w:val="24"/>
        </w:rPr>
        <w:t xml:space="preserve">economic modelling developed at the Institute over this period. Of key importance </w:t>
      </w:r>
      <w:r w:rsidR="00912F9C" w:rsidRPr="003242E9">
        <w:rPr>
          <w:rFonts w:cs="Times New Roman"/>
          <w:sz w:val="24"/>
          <w:szCs w:val="24"/>
        </w:rPr>
        <w:t xml:space="preserve">has been </w:t>
      </w:r>
      <w:r w:rsidRPr="003242E9">
        <w:rPr>
          <w:rFonts w:cs="Times New Roman"/>
          <w:sz w:val="24"/>
          <w:szCs w:val="24"/>
        </w:rPr>
        <w:t xml:space="preserve">the availability of funding to support research using macroeconomic models. </w:t>
      </w:r>
      <w:r w:rsidR="004F74A0" w:rsidRPr="003242E9">
        <w:rPr>
          <w:rFonts w:cs="Times New Roman"/>
          <w:sz w:val="24"/>
          <w:szCs w:val="24"/>
        </w:rPr>
        <w:t>A Macroeconomic Modelling Consortium</w:t>
      </w:r>
      <w:r w:rsidR="000D0F12" w:rsidRPr="003242E9">
        <w:rPr>
          <w:rFonts w:cs="Times New Roman"/>
          <w:sz w:val="24"/>
          <w:szCs w:val="24"/>
        </w:rPr>
        <w:t xml:space="preserve">, financed by the ESRC, HM Treasury and Bank of England, </w:t>
      </w:r>
      <w:r w:rsidR="004F74A0" w:rsidRPr="003242E9">
        <w:rPr>
          <w:rFonts w:cs="Times New Roman"/>
          <w:sz w:val="24"/>
          <w:szCs w:val="24"/>
        </w:rPr>
        <w:t>had been established in 1983 to coordinate support for a programme of research in macroeconomic modelling</w:t>
      </w:r>
      <w:r w:rsidR="000D0F12" w:rsidRPr="003242E9">
        <w:rPr>
          <w:rFonts w:cs="Times New Roman"/>
          <w:sz w:val="24"/>
          <w:szCs w:val="24"/>
        </w:rPr>
        <w:t xml:space="preserve">. </w:t>
      </w:r>
      <w:r w:rsidR="004F74A0" w:rsidRPr="003242E9">
        <w:rPr>
          <w:rFonts w:cs="Times New Roman"/>
          <w:sz w:val="24"/>
          <w:szCs w:val="24"/>
        </w:rPr>
        <w:t xml:space="preserve">The Consortium provided financial support to macroeconomic modelling at </w:t>
      </w:r>
      <w:r w:rsidR="004B0C7B" w:rsidRPr="003242E9">
        <w:rPr>
          <w:rFonts w:cs="Times New Roman"/>
          <w:sz w:val="24"/>
          <w:szCs w:val="24"/>
        </w:rPr>
        <w:t xml:space="preserve">the Institute </w:t>
      </w:r>
      <w:r w:rsidR="004F74A0" w:rsidRPr="003242E9">
        <w:rPr>
          <w:rFonts w:cs="Times New Roman"/>
          <w:sz w:val="24"/>
          <w:szCs w:val="24"/>
        </w:rPr>
        <w:t xml:space="preserve">in four four-year phases until the </w:t>
      </w:r>
      <w:r w:rsidR="00912F9C" w:rsidRPr="003242E9">
        <w:rPr>
          <w:rFonts w:cs="Times New Roman"/>
          <w:sz w:val="24"/>
          <w:szCs w:val="24"/>
        </w:rPr>
        <w:t xml:space="preserve">Consortium was wound up and the </w:t>
      </w:r>
      <w:r w:rsidR="004F74A0" w:rsidRPr="003242E9">
        <w:rPr>
          <w:rFonts w:cs="Times New Roman"/>
          <w:sz w:val="24"/>
          <w:szCs w:val="24"/>
        </w:rPr>
        <w:t>research programme was discontinued in 1999.</w:t>
      </w:r>
      <w:r w:rsidR="004B0C7B" w:rsidRPr="003242E9">
        <w:rPr>
          <w:rFonts w:cs="Times New Roman"/>
          <w:sz w:val="24"/>
          <w:szCs w:val="24"/>
        </w:rPr>
        <w:t xml:space="preserve">  </w:t>
      </w:r>
      <w:r w:rsidR="00912F9C" w:rsidRPr="003242E9">
        <w:rPr>
          <w:rFonts w:cs="Times New Roman"/>
          <w:sz w:val="24"/>
          <w:szCs w:val="24"/>
        </w:rPr>
        <w:t xml:space="preserve">A further round of finance was provided by the ESRC in 1999, but there has been no public financial support specifically for macroeconomic modelling at the Institute since 2003. </w:t>
      </w:r>
    </w:p>
    <w:p w:rsidR="006E0669" w:rsidRPr="003242E9" w:rsidRDefault="00C41847" w:rsidP="003F7C6D">
      <w:pPr>
        <w:jc w:val="both"/>
        <w:rPr>
          <w:rFonts w:cs="Times New Roman"/>
          <w:sz w:val="24"/>
          <w:szCs w:val="24"/>
        </w:rPr>
      </w:pPr>
      <w:r w:rsidRPr="003242E9">
        <w:rPr>
          <w:rFonts w:cs="Times New Roman"/>
          <w:sz w:val="24"/>
          <w:szCs w:val="24"/>
        </w:rPr>
        <w:t>It was</w:t>
      </w:r>
      <w:r w:rsidR="007F017C" w:rsidRPr="003242E9">
        <w:rPr>
          <w:rFonts w:cs="Times New Roman"/>
          <w:sz w:val="24"/>
          <w:szCs w:val="24"/>
        </w:rPr>
        <w:t xml:space="preserve"> </w:t>
      </w:r>
      <w:r w:rsidRPr="003242E9">
        <w:rPr>
          <w:rFonts w:cs="Times New Roman"/>
          <w:sz w:val="24"/>
          <w:szCs w:val="24"/>
        </w:rPr>
        <w:t xml:space="preserve">clear </w:t>
      </w:r>
      <w:r w:rsidR="007F017C" w:rsidRPr="003242E9">
        <w:rPr>
          <w:rFonts w:cs="Times New Roman"/>
          <w:sz w:val="24"/>
          <w:szCs w:val="24"/>
        </w:rPr>
        <w:t xml:space="preserve">even in the late 1980s </w:t>
      </w:r>
      <w:r w:rsidRPr="003242E9">
        <w:rPr>
          <w:rFonts w:cs="Times New Roman"/>
          <w:sz w:val="24"/>
          <w:szCs w:val="24"/>
        </w:rPr>
        <w:t>that finance would become increasingly difficult to obtain f</w:t>
      </w:r>
      <w:r w:rsidR="0006070C" w:rsidRPr="003242E9">
        <w:rPr>
          <w:rFonts w:cs="Times New Roman"/>
          <w:sz w:val="24"/>
          <w:szCs w:val="24"/>
        </w:rPr>
        <w:t>ro</w:t>
      </w:r>
      <w:r w:rsidRPr="003242E9">
        <w:rPr>
          <w:rFonts w:cs="Times New Roman"/>
          <w:sz w:val="24"/>
          <w:szCs w:val="24"/>
        </w:rPr>
        <w:t xml:space="preserve">m this source and in 1989 </w:t>
      </w:r>
      <w:r w:rsidR="005F3081">
        <w:rPr>
          <w:rFonts w:cs="Times New Roman"/>
          <w:sz w:val="24"/>
          <w:szCs w:val="24"/>
        </w:rPr>
        <w:t xml:space="preserve">a </w:t>
      </w:r>
      <w:r w:rsidRPr="003242E9">
        <w:rPr>
          <w:rFonts w:cs="Times New Roman"/>
          <w:sz w:val="24"/>
          <w:szCs w:val="24"/>
        </w:rPr>
        <w:t>global model user group</w:t>
      </w:r>
      <w:r w:rsidR="005F3081">
        <w:rPr>
          <w:rFonts w:cs="Times New Roman"/>
          <w:sz w:val="24"/>
          <w:szCs w:val="24"/>
        </w:rPr>
        <w:t>,</w:t>
      </w:r>
      <w:r w:rsidRPr="003242E9">
        <w:rPr>
          <w:rFonts w:cs="Times New Roman"/>
          <w:sz w:val="24"/>
          <w:szCs w:val="24"/>
        </w:rPr>
        <w:t xml:space="preserve"> that </w:t>
      </w:r>
      <w:r w:rsidR="005F3081">
        <w:rPr>
          <w:rFonts w:cs="Times New Roman"/>
          <w:sz w:val="24"/>
          <w:szCs w:val="24"/>
        </w:rPr>
        <w:t xml:space="preserve">had been planned by Simon </w:t>
      </w:r>
      <w:r w:rsidRPr="003242E9">
        <w:rPr>
          <w:rFonts w:cs="Times New Roman"/>
          <w:sz w:val="24"/>
          <w:szCs w:val="24"/>
        </w:rPr>
        <w:t>Wren</w:t>
      </w:r>
      <w:r w:rsidR="005F3081">
        <w:rPr>
          <w:rFonts w:cs="Times New Roman"/>
          <w:sz w:val="24"/>
          <w:szCs w:val="24"/>
        </w:rPr>
        <w:t>-</w:t>
      </w:r>
      <w:r w:rsidRPr="003242E9">
        <w:rPr>
          <w:rFonts w:cs="Times New Roman"/>
          <w:sz w:val="24"/>
          <w:szCs w:val="24"/>
        </w:rPr>
        <w:t xml:space="preserve">Lewis and </w:t>
      </w:r>
      <w:r w:rsidR="005F3081">
        <w:rPr>
          <w:rFonts w:cs="Times New Roman"/>
          <w:sz w:val="24"/>
          <w:szCs w:val="24"/>
        </w:rPr>
        <w:t xml:space="preserve">Andrew </w:t>
      </w:r>
      <w:r w:rsidRPr="003242E9">
        <w:rPr>
          <w:rFonts w:cs="Times New Roman"/>
          <w:sz w:val="24"/>
          <w:szCs w:val="24"/>
        </w:rPr>
        <w:t>Britton</w:t>
      </w:r>
      <w:r w:rsidR="005F3081">
        <w:rPr>
          <w:rFonts w:cs="Times New Roman"/>
          <w:sz w:val="24"/>
          <w:szCs w:val="24"/>
        </w:rPr>
        <w:t xml:space="preserve">, was </w:t>
      </w:r>
      <w:r w:rsidRPr="003242E9">
        <w:rPr>
          <w:rFonts w:cs="Times New Roman"/>
          <w:sz w:val="24"/>
          <w:szCs w:val="24"/>
        </w:rPr>
        <w:t xml:space="preserve">started, with the Bank, the Treasury and a few city </w:t>
      </w:r>
      <w:r w:rsidR="002B7E9E">
        <w:rPr>
          <w:rFonts w:cs="Times New Roman"/>
          <w:sz w:val="24"/>
          <w:szCs w:val="24"/>
        </w:rPr>
        <w:t xml:space="preserve">firms as inaugural </w:t>
      </w:r>
      <w:r w:rsidRPr="003242E9">
        <w:rPr>
          <w:rFonts w:cs="Times New Roman"/>
          <w:sz w:val="24"/>
          <w:szCs w:val="24"/>
        </w:rPr>
        <w:t xml:space="preserve">members. The group has continually expanded, with </w:t>
      </w:r>
      <w:r w:rsidR="00884118" w:rsidRPr="003242E9">
        <w:rPr>
          <w:rFonts w:cs="Times New Roman"/>
          <w:sz w:val="24"/>
          <w:szCs w:val="24"/>
        </w:rPr>
        <w:t xml:space="preserve">many </w:t>
      </w:r>
      <w:r w:rsidR="007F017C" w:rsidRPr="003242E9">
        <w:rPr>
          <w:rFonts w:cs="Times New Roman"/>
          <w:sz w:val="24"/>
          <w:szCs w:val="24"/>
        </w:rPr>
        <w:t xml:space="preserve">continental </w:t>
      </w:r>
      <w:r w:rsidRPr="003242E9">
        <w:rPr>
          <w:rFonts w:cs="Times New Roman"/>
          <w:sz w:val="24"/>
          <w:szCs w:val="24"/>
        </w:rPr>
        <w:t>European central banks joining, the first being the Bank of Italy in 1989. The model has been used at various times by the OECD, the IMF and the World Bank, and the ECB and the system of European Central Banks have been a major support for some time. Private sector users also increased</w:t>
      </w:r>
      <w:r w:rsidR="00884118" w:rsidRPr="003242E9">
        <w:rPr>
          <w:rFonts w:cs="Times New Roman"/>
          <w:sz w:val="24"/>
          <w:szCs w:val="24"/>
        </w:rPr>
        <w:t xml:space="preserve"> in number</w:t>
      </w:r>
      <w:r w:rsidRPr="003242E9">
        <w:rPr>
          <w:rFonts w:cs="Times New Roman"/>
          <w:sz w:val="24"/>
          <w:szCs w:val="24"/>
        </w:rPr>
        <w:t xml:space="preserve"> and </w:t>
      </w:r>
      <w:r w:rsidR="00884118" w:rsidRPr="003242E9">
        <w:rPr>
          <w:rFonts w:cs="Times New Roman"/>
          <w:sz w:val="24"/>
          <w:szCs w:val="24"/>
        </w:rPr>
        <w:t xml:space="preserve">they have </w:t>
      </w:r>
      <w:r w:rsidRPr="003242E9">
        <w:rPr>
          <w:rFonts w:cs="Times New Roman"/>
          <w:sz w:val="24"/>
          <w:szCs w:val="24"/>
        </w:rPr>
        <w:t xml:space="preserve">always been around half of </w:t>
      </w:r>
      <w:r w:rsidR="0006070C" w:rsidRPr="003242E9">
        <w:rPr>
          <w:rFonts w:cs="Times New Roman"/>
          <w:sz w:val="24"/>
          <w:szCs w:val="24"/>
        </w:rPr>
        <w:t>the total members</w:t>
      </w:r>
      <w:r w:rsidRPr="003242E9">
        <w:rPr>
          <w:rFonts w:cs="Times New Roman"/>
          <w:sz w:val="24"/>
          <w:szCs w:val="24"/>
        </w:rPr>
        <w:t>. The user group provided an increasing proportion of macro</w:t>
      </w:r>
      <w:r w:rsidR="00884118" w:rsidRPr="003242E9">
        <w:rPr>
          <w:rFonts w:cs="Times New Roman"/>
          <w:sz w:val="24"/>
          <w:szCs w:val="24"/>
        </w:rPr>
        <w:t>economics</w:t>
      </w:r>
      <w:r w:rsidRPr="003242E9">
        <w:rPr>
          <w:rFonts w:cs="Times New Roman"/>
          <w:sz w:val="24"/>
          <w:szCs w:val="24"/>
        </w:rPr>
        <w:t xml:space="preserve"> fund</w:t>
      </w:r>
      <w:r w:rsidR="00884118" w:rsidRPr="003242E9">
        <w:rPr>
          <w:rFonts w:cs="Times New Roman"/>
          <w:sz w:val="24"/>
          <w:szCs w:val="24"/>
        </w:rPr>
        <w:t>ing</w:t>
      </w:r>
      <w:r w:rsidRPr="003242E9">
        <w:rPr>
          <w:rFonts w:cs="Times New Roman"/>
          <w:sz w:val="24"/>
          <w:szCs w:val="24"/>
        </w:rPr>
        <w:t xml:space="preserve"> from 1990 and since 2003</w:t>
      </w:r>
      <w:r w:rsidR="00912F9C" w:rsidRPr="003242E9">
        <w:rPr>
          <w:rFonts w:cs="Times New Roman"/>
          <w:sz w:val="24"/>
          <w:szCs w:val="24"/>
        </w:rPr>
        <w:t xml:space="preserve"> macroeconomic modelling has been financed by sales of the National Institute Global Econometric Model (</w:t>
      </w:r>
      <w:proofErr w:type="spellStart"/>
      <w:r w:rsidR="00912F9C" w:rsidRPr="003242E9">
        <w:rPr>
          <w:rFonts w:cs="Times New Roman"/>
          <w:sz w:val="24"/>
          <w:szCs w:val="24"/>
        </w:rPr>
        <w:t>NiGEM</w:t>
      </w:r>
      <w:proofErr w:type="spellEnd"/>
      <w:r w:rsidR="00912F9C" w:rsidRPr="003242E9">
        <w:rPr>
          <w:rFonts w:cs="Times New Roman"/>
          <w:sz w:val="24"/>
          <w:szCs w:val="24"/>
        </w:rPr>
        <w:t>)</w:t>
      </w:r>
      <w:r w:rsidR="0006070C" w:rsidRPr="003242E9">
        <w:rPr>
          <w:rFonts w:cs="Times New Roman"/>
          <w:sz w:val="24"/>
          <w:szCs w:val="24"/>
        </w:rPr>
        <w:t xml:space="preserve"> and by specific research projects based around the model. </w:t>
      </w:r>
      <w:r w:rsidR="00F11786" w:rsidRPr="003242E9">
        <w:rPr>
          <w:rFonts w:cs="Times New Roman"/>
          <w:sz w:val="24"/>
          <w:szCs w:val="24"/>
        </w:rPr>
        <w:t>The model user group expanded along with the model, as there was a commitment to modelling all EU and subsequently</w:t>
      </w:r>
      <w:r w:rsidR="0063235F" w:rsidRPr="003242E9">
        <w:rPr>
          <w:rFonts w:cs="Times New Roman"/>
          <w:sz w:val="24"/>
          <w:szCs w:val="24"/>
        </w:rPr>
        <w:t xml:space="preserve"> </w:t>
      </w:r>
      <w:proofErr w:type="gramStart"/>
      <w:r w:rsidR="0063235F" w:rsidRPr="003242E9">
        <w:rPr>
          <w:rFonts w:cs="Times New Roman"/>
          <w:sz w:val="24"/>
          <w:szCs w:val="24"/>
        </w:rPr>
        <w:t xml:space="preserve">all </w:t>
      </w:r>
      <w:r w:rsidR="00F11786" w:rsidRPr="003242E9">
        <w:rPr>
          <w:rFonts w:cs="Times New Roman"/>
          <w:sz w:val="24"/>
          <w:szCs w:val="24"/>
        </w:rPr>
        <w:t xml:space="preserve"> EMU</w:t>
      </w:r>
      <w:proofErr w:type="gramEnd"/>
      <w:r w:rsidR="00F11786" w:rsidRPr="003242E9">
        <w:rPr>
          <w:rFonts w:cs="Times New Roman"/>
          <w:sz w:val="24"/>
          <w:szCs w:val="24"/>
        </w:rPr>
        <w:t xml:space="preserve"> members, and both groups kept growing, with central banks, finance ministries and important stakeholders </w:t>
      </w:r>
      <w:r w:rsidR="0063235F" w:rsidRPr="003242E9">
        <w:rPr>
          <w:rFonts w:cs="Times New Roman"/>
          <w:sz w:val="24"/>
          <w:szCs w:val="24"/>
        </w:rPr>
        <w:t>needing</w:t>
      </w:r>
      <w:r w:rsidR="00F11786" w:rsidRPr="003242E9">
        <w:rPr>
          <w:rFonts w:cs="Times New Roman"/>
          <w:sz w:val="24"/>
          <w:szCs w:val="24"/>
        </w:rPr>
        <w:t xml:space="preserve"> help with tools</w:t>
      </w:r>
      <w:r w:rsidR="0063235F" w:rsidRPr="003242E9">
        <w:rPr>
          <w:rFonts w:cs="Times New Roman"/>
          <w:sz w:val="24"/>
          <w:szCs w:val="24"/>
        </w:rPr>
        <w:t xml:space="preserve"> to analyse the </w:t>
      </w:r>
      <w:r w:rsidR="0063235F" w:rsidRPr="003242E9">
        <w:rPr>
          <w:rFonts w:cs="Times New Roman"/>
          <w:sz w:val="24"/>
          <w:szCs w:val="24"/>
        </w:rPr>
        <w:lastRenderedPageBreak/>
        <w:t>prospects they might face</w:t>
      </w:r>
      <w:r w:rsidR="00F11786" w:rsidRPr="003242E9">
        <w:rPr>
          <w:rFonts w:cs="Times New Roman"/>
          <w:sz w:val="24"/>
          <w:szCs w:val="24"/>
        </w:rPr>
        <w:t>. In addition, the world became increasingly integrated, so developments outside Europe had to be analysed and models of countries such as Mexico and Brazil added.</w:t>
      </w:r>
    </w:p>
    <w:p w:rsidR="002C7AEA" w:rsidRPr="003242E9" w:rsidRDefault="002C7AEA" w:rsidP="003F7C6D">
      <w:pPr>
        <w:jc w:val="both"/>
        <w:rPr>
          <w:rFonts w:cs="Times New Roman"/>
          <w:sz w:val="24"/>
          <w:szCs w:val="24"/>
        </w:rPr>
      </w:pPr>
      <w:r w:rsidRPr="003242E9">
        <w:rPr>
          <w:rFonts w:cs="Times New Roman"/>
          <w:sz w:val="24"/>
          <w:szCs w:val="24"/>
        </w:rPr>
        <w:t xml:space="preserve">The need to secure funds to finance macroeconomic modelling imposes a number of disciplines, whether the finance comes from public sector research grants or model sales.  </w:t>
      </w:r>
      <w:r w:rsidR="00186C0C" w:rsidRPr="003242E9">
        <w:rPr>
          <w:rFonts w:cs="Times New Roman"/>
          <w:sz w:val="24"/>
          <w:szCs w:val="24"/>
        </w:rPr>
        <w:t xml:space="preserve"> In either case it is necessary to demonstrate that the modelling teams are competent, have a decent academic reputation</w:t>
      </w:r>
      <w:r w:rsidR="00E92478" w:rsidRPr="003242E9">
        <w:rPr>
          <w:rFonts w:cs="Times New Roman"/>
          <w:sz w:val="24"/>
          <w:szCs w:val="24"/>
        </w:rPr>
        <w:t>,</w:t>
      </w:r>
      <w:r w:rsidR="00186C0C" w:rsidRPr="003242E9">
        <w:rPr>
          <w:rFonts w:cs="Times New Roman"/>
          <w:sz w:val="24"/>
          <w:szCs w:val="24"/>
        </w:rPr>
        <w:t xml:space="preserve"> and that the model </w:t>
      </w:r>
      <w:r w:rsidR="00E92478" w:rsidRPr="003242E9">
        <w:rPr>
          <w:rFonts w:cs="Times New Roman"/>
          <w:sz w:val="24"/>
          <w:szCs w:val="24"/>
        </w:rPr>
        <w:t xml:space="preserve">itself </w:t>
      </w:r>
      <w:r w:rsidR="00186C0C" w:rsidRPr="003242E9">
        <w:rPr>
          <w:rFonts w:cs="Times New Roman"/>
          <w:sz w:val="24"/>
          <w:szCs w:val="24"/>
        </w:rPr>
        <w:t xml:space="preserve">is </w:t>
      </w:r>
      <w:r w:rsidR="00E92478" w:rsidRPr="003242E9">
        <w:rPr>
          <w:rFonts w:cs="Times New Roman"/>
          <w:sz w:val="24"/>
          <w:szCs w:val="24"/>
        </w:rPr>
        <w:t>empirically coherent, consistent with accepted economic theory</w:t>
      </w:r>
      <w:r w:rsidR="002B7E9E">
        <w:rPr>
          <w:rFonts w:cs="Times New Roman"/>
          <w:sz w:val="24"/>
          <w:szCs w:val="24"/>
        </w:rPr>
        <w:t>,</w:t>
      </w:r>
      <w:r w:rsidR="00E92478" w:rsidRPr="003242E9">
        <w:rPr>
          <w:rFonts w:cs="Times New Roman"/>
          <w:sz w:val="24"/>
          <w:szCs w:val="24"/>
        </w:rPr>
        <w:t xml:space="preserve"> and can be used to provide a quantified answer to important macroeconomic questions.  The main consequence of the ending of public financial support for macroeconomic modelling at the Institute </w:t>
      </w:r>
      <w:r w:rsidR="0063235F" w:rsidRPr="003242E9">
        <w:rPr>
          <w:rFonts w:cs="Times New Roman"/>
          <w:sz w:val="24"/>
          <w:szCs w:val="24"/>
        </w:rPr>
        <w:t xml:space="preserve">has been </w:t>
      </w:r>
      <w:r w:rsidR="00E92478" w:rsidRPr="003242E9">
        <w:rPr>
          <w:rFonts w:cs="Times New Roman"/>
          <w:sz w:val="24"/>
          <w:szCs w:val="24"/>
        </w:rPr>
        <w:t xml:space="preserve">that the domestic economic model was </w:t>
      </w:r>
      <w:r w:rsidR="00884118" w:rsidRPr="003242E9">
        <w:rPr>
          <w:rFonts w:cs="Times New Roman"/>
          <w:sz w:val="24"/>
          <w:szCs w:val="24"/>
        </w:rPr>
        <w:t xml:space="preserve">cut down in scale and the core was embedded in </w:t>
      </w:r>
      <w:proofErr w:type="spellStart"/>
      <w:r w:rsidR="00884118" w:rsidRPr="003242E9">
        <w:rPr>
          <w:rFonts w:cs="Times New Roman"/>
          <w:sz w:val="24"/>
          <w:szCs w:val="24"/>
        </w:rPr>
        <w:t>NiGEM</w:t>
      </w:r>
      <w:proofErr w:type="spellEnd"/>
      <w:r w:rsidR="00884118" w:rsidRPr="003242E9">
        <w:rPr>
          <w:rFonts w:cs="Times New Roman"/>
          <w:sz w:val="24"/>
          <w:szCs w:val="24"/>
        </w:rPr>
        <w:t xml:space="preserve"> </w:t>
      </w:r>
      <w:r w:rsidR="00E92478" w:rsidRPr="003242E9">
        <w:rPr>
          <w:rFonts w:cs="Times New Roman"/>
          <w:sz w:val="24"/>
          <w:szCs w:val="24"/>
        </w:rPr>
        <w:t>in 200</w:t>
      </w:r>
      <w:r w:rsidR="00884118" w:rsidRPr="003242E9">
        <w:rPr>
          <w:rFonts w:cs="Times New Roman"/>
          <w:sz w:val="24"/>
          <w:szCs w:val="24"/>
        </w:rPr>
        <w:t>0</w:t>
      </w:r>
      <w:r w:rsidR="00E92478" w:rsidRPr="003242E9">
        <w:rPr>
          <w:rFonts w:cs="Times New Roman"/>
          <w:sz w:val="24"/>
          <w:szCs w:val="24"/>
        </w:rPr>
        <w:t>.</w:t>
      </w:r>
      <w:r w:rsidR="00C25A93" w:rsidRPr="003242E9">
        <w:rPr>
          <w:rFonts w:cs="Times New Roman"/>
          <w:sz w:val="24"/>
          <w:szCs w:val="24"/>
        </w:rPr>
        <w:t xml:space="preserve">  This has meant that the approach to modelling the UK economy is now much less detailed than was possible at times in the past</w:t>
      </w:r>
      <w:r w:rsidR="00884118" w:rsidRPr="003242E9">
        <w:rPr>
          <w:rFonts w:cs="Times New Roman"/>
          <w:sz w:val="24"/>
          <w:szCs w:val="24"/>
        </w:rPr>
        <w:t>, but coverage of the rest of the world has increased from 10 demand side models in 1987 to (36) fully specified country models and a further (30) detailed country models in 2018</w:t>
      </w:r>
      <w:r w:rsidR="00C25A93" w:rsidRPr="003242E9">
        <w:rPr>
          <w:rFonts w:cs="Times New Roman"/>
          <w:sz w:val="24"/>
          <w:szCs w:val="24"/>
        </w:rPr>
        <w:t>.</w:t>
      </w:r>
      <w:r w:rsidR="00E92478" w:rsidRPr="003242E9">
        <w:rPr>
          <w:rFonts w:cs="Times New Roman"/>
          <w:sz w:val="24"/>
          <w:szCs w:val="24"/>
        </w:rPr>
        <w:t xml:space="preserve"> </w:t>
      </w:r>
    </w:p>
    <w:p w:rsidR="00E92478" w:rsidRPr="003242E9" w:rsidRDefault="003D417F" w:rsidP="003F7C6D">
      <w:pPr>
        <w:jc w:val="both"/>
        <w:rPr>
          <w:rFonts w:cs="Times New Roman"/>
          <w:sz w:val="24"/>
          <w:szCs w:val="24"/>
        </w:rPr>
      </w:pPr>
      <w:r w:rsidRPr="003242E9">
        <w:rPr>
          <w:rFonts w:cs="Times New Roman"/>
          <w:sz w:val="24"/>
          <w:szCs w:val="24"/>
        </w:rPr>
        <w:t>Another key influence o</w:t>
      </w:r>
      <w:r w:rsidR="00FC5240" w:rsidRPr="003242E9">
        <w:rPr>
          <w:rFonts w:cs="Times New Roman"/>
          <w:sz w:val="24"/>
          <w:szCs w:val="24"/>
        </w:rPr>
        <w:t>n</w:t>
      </w:r>
      <w:r w:rsidRPr="003242E9">
        <w:rPr>
          <w:rFonts w:cs="Times New Roman"/>
          <w:sz w:val="24"/>
          <w:szCs w:val="24"/>
        </w:rPr>
        <w:t xml:space="preserve"> macroeconomic modelling in our time at the Institute was the oversight </w:t>
      </w:r>
      <w:r w:rsidR="000D0F12" w:rsidRPr="003242E9">
        <w:rPr>
          <w:rFonts w:cs="Times New Roman"/>
          <w:sz w:val="24"/>
          <w:szCs w:val="24"/>
        </w:rPr>
        <w:t xml:space="preserve">from </w:t>
      </w:r>
      <w:r w:rsidRPr="003242E9">
        <w:rPr>
          <w:rFonts w:cs="Times New Roman"/>
          <w:sz w:val="24"/>
          <w:szCs w:val="24"/>
        </w:rPr>
        <w:t xml:space="preserve">the Macroeconomic Modelling Bureau based at the University of Warwick, under the direction of Professor Ken Wallis. </w:t>
      </w:r>
      <w:r w:rsidR="00E92478" w:rsidRPr="003242E9">
        <w:rPr>
          <w:rFonts w:cs="Times New Roman"/>
          <w:sz w:val="24"/>
          <w:szCs w:val="24"/>
        </w:rPr>
        <w:t xml:space="preserve"> The Bureau was also </w:t>
      </w:r>
      <w:r w:rsidR="00FE151E" w:rsidRPr="003242E9">
        <w:rPr>
          <w:rFonts w:cs="Times New Roman"/>
          <w:sz w:val="24"/>
          <w:szCs w:val="24"/>
        </w:rPr>
        <w:t xml:space="preserve">financed </w:t>
      </w:r>
      <w:r w:rsidR="00E92478" w:rsidRPr="003242E9">
        <w:rPr>
          <w:rFonts w:cs="Times New Roman"/>
          <w:sz w:val="24"/>
          <w:szCs w:val="24"/>
        </w:rPr>
        <w:t xml:space="preserve">by the Macroeconomic Modelling Consortium. </w:t>
      </w:r>
      <w:r w:rsidRPr="003242E9">
        <w:rPr>
          <w:rFonts w:cs="Times New Roman"/>
          <w:sz w:val="24"/>
          <w:szCs w:val="24"/>
        </w:rPr>
        <w:t>From its inception in 1983 to its close in 1999, the Bureau examined the properties of the various publicly funded macroeconomic models that were deposited with it.  The</w:t>
      </w:r>
      <w:r w:rsidR="00FC5240" w:rsidRPr="003242E9">
        <w:rPr>
          <w:rFonts w:cs="Times New Roman"/>
          <w:sz w:val="24"/>
          <w:szCs w:val="24"/>
        </w:rPr>
        <w:t xml:space="preserve"> </w:t>
      </w:r>
      <w:r w:rsidR="00577D0C" w:rsidRPr="003242E9">
        <w:rPr>
          <w:rFonts w:cs="Times New Roman"/>
          <w:sz w:val="24"/>
          <w:szCs w:val="24"/>
        </w:rPr>
        <w:t xml:space="preserve">regular </w:t>
      </w:r>
      <w:r w:rsidR="00FC5240" w:rsidRPr="003242E9">
        <w:rPr>
          <w:rFonts w:cs="Times New Roman"/>
          <w:sz w:val="24"/>
          <w:szCs w:val="24"/>
        </w:rPr>
        <w:t>publication of these</w:t>
      </w:r>
      <w:r w:rsidRPr="003242E9">
        <w:rPr>
          <w:rFonts w:cs="Times New Roman"/>
          <w:sz w:val="24"/>
          <w:szCs w:val="24"/>
        </w:rPr>
        <w:t xml:space="preserve"> model comparison exercises</w:t>
      </w:r>
      <w:r w:rsidR="00E92478" w:rsidRPr="003242E9">
        <w:rPr>
          <w:rFonts w:cs="Times New Roman"/>
          <w:sz w:val="24"/>
          <w:szCs w:val="24"/>
        </w:rPr>
        <w:t xml:space="preserve">, initially in annual review volumes and subsequently in this </w:t>
      </w:r>
      <w:r w:rsidR="00E92478" w:rsidRPr="003242E9">
        <w:rPr>
          <w:rFonts w:cs="Times New Roman"/>
          <w:i/>
          <w:sz w:val="24"/>
          <w:szCs w:val="24"/>
        </w:rPr>
        <w:t>Review</w:t>
      </w:r>
      <w:r w:rsidR="00E92478" w:rsidRPr="003242E9">
        <w:rPr>
          <w:rFonts w:cs="Times New Roman"/>
          <w:sz w:val="24"/>
          <w:szCs w:val="24"/>
        </w:rPr>
        <w:t xml:space="preserve">, </w:t>
      </w:r>
      <w:r w:rsidRPr="003242E9">
        <w:rPr>
          <w:rFonts w:cs="Times New Roman"/>
          <w:sz w:val="24"/>
          <w:szCs w:val="24"/>
        </w:rPr>
        <w:t>had a</w:t>
      </w:r>
      <w:r w:rsidR="00FE151E" w:rsidRPr="003242E9">
        <w:rPr>
          <w:rFonts w:cs="Times New Roman"/>
          <w:sz w:val="24"/>
          <w:szCs w:val="24"/>
        </w:rPr>
        <w:t xml:space="preserve"> critical </w:t>
      </w:r>
      <w:r w:rsidRPr="003242E9">
        <w:rPr>
          <w:rFonts w:cs="Times New Roman"/>
          <w:sz w:val="24"/>
          <w:szCs w:val="24"/>
        </w:rPr>
        <w:t xml:space="preserve">role in encouraging best practice </w:t>
      </w:r>
      <w:r w:rsidR="00FC5240" w:rsidRPr="003242E9">
        <w:rPr>
          <w:rFonts w:cs="Times New Roman"/>
          <w:sz w:val="24"/>
          <w:szCs w:val="24"/>
        </w:rPr>
        <w:t>in the UK modelling community</w:t>
      </w:r>
      <w:r w:rsidR="00577D0C" w:rsidRPr="003242E9">
        <w:rPr>
          <w:rFonts w:cs="Times New Roman"/>
          <w:sz w:val="24"/>
          <w:szCs w:val="24"/>
        </w:rPr>
        <w:t>.</w:t>
      </w:r>
      <w:r w:rsidR="00FC5240" w:rsidRPr="003242E9">
        <w:rPr>
          <w:rFonts w:cs="Times New Roman"/>
          <w:sz w:val="24"/>
          <w:szCs w:val="24"/>
        </w:rPr>
        <w:t xml:space="preserve">  </w:t>
      </w:r>
      <w:r w:rsidR="00FE151E" w:rsidRPr="003242E9">
        <w:rPr>
          <w:rFonts w:cs="Times New Roman"/>
          <w:sz w:val="24"/>
          <w:szCs w:val="24"/>
        </w:rPr>
        <w:t xml:space="preserve">This role was further enhanced by the annual macroeconomic modelling conference held at Warwick that provided a supportive, as well as sometimes critical, environment for the exchange of ideas. </w:t>
      </w:r>
    </w:p>
    <w:p w:rsidR="00842F73" w:rsidRPr="003242E9" w:rsidRDefault="00FE151E" w:rsidP="003F7C6D">
      <w:pPr>
        <w:jc w:val="both"/>
        <w:rPr>
          <w:rFonts w:cs="Times New Roman"/>
          <w:sz w:val="24"/>
          <w:szCs w:val="24"/>
        </w:rPr>
      </w:pPr>
      <w:r w:rsidRPr="003242E9">
        <w:rPr>
          <w:rFonts w:cs="Times New Roman"/>
          <w:sz w:val="24"/>
          <w:szCs w:val="24"/>
        </w:rPr>
        <w:t>A further important influence</w:t>
      </w:r>
      <w:r w:rsidR="000D0F12" w:rsidRPr="003242E9">
        <w:rPr>
          <w:rFonts w:cs="Times New Roman"/>
          <w:sz w:val="24"/>
          <w:szCs w:val="24"/>
        </w:rPr>
        <w:t xml:space="preserve"> on macroeconomic modelling at the Institute, and perhaps the reason it has outlasted other modelling groups, is that the model has always been used to produce a</w:t>
      </w:r>
      <w:r w:rsidR="00F95FF0" w:rsidRPr="003242E9">
        <w:rPr>
          <w:rFonts w:cs="Times New Roman"/>
          <w:sz w:val="24"/>
          <w:szCs w:val="24"/>
        </w:rPr>
        <w:t xml:space="preserve">n economic </w:t>
      </w:r>
      <w:r w:rsidR="000D0F12" w:rsidRPr="003242E9">
        <w:rPr>
          <w:rFonts w:cs="Times New Roman"/>
          <w:sz w:val="24"/>
          <w:szCs w:val="24"/>
        </w:rPr>
        <w:t>forecast</w:t>
      </w:r>
      <w:r w:rsidR="00F95FF0" w:rsidRPr="003242E9">
        <w:rPr>
          <w:rFonts w:cs="Times New Roman"/>
          <w:sz w:val="24"/>
          <w:szCs w:val="24"/>
        </w:rPr>
        <w:t>, its original motivation</w:t>
      </w:r>
      <w:r w:rsidR="00C459D5" w:rsidRPr="003242E9">
        <w:rPr>
          <w:rFonts w:cs="Times New Roman"/>
          <w:sz w:val="24"/>
          <w:szCs w:val="24"/>
        </w:rPr>
        <w:t>, and for almost 30 years has been provided to active outside users immediately the forecast has been completed</w:t>
      </w:r>
      <w:r w:rsidR="000D0F12" w:rsidRPr="003242E9">
        <w:rPr>
          <w:rFonts w:cs="Times New Roman"/>
          <w:sz w:val="24"/>
          <w:szCs w:val="24"/>
        </w:rPr>
        <w:t>.</w:t>
      </w:r>
      <w:r w:rsidR="00F95FF0" w:rsidRPr="003242E9">
        <w:rPr>
          <w:rFonts w:cs="Times New Roman"/>
          <w:sz w:val="24"/>
          <w:szCs w:val="24"/>
        </w:rPr>
        <w:t xml:space="preserve">  </w:t>
      </w:r>
      <w:r w:rsidR="000D0F12" w:rsidRPr="003242E9">
        <w:rPr>
          <w:rFonts w:cs="Times New Roman"/>
          <w:sz w:val="24"/>
          <w:szCs w:val="24"/>
        </w:rPr>
        <w:t>The discipl</w:t>
      </w:r>
      <w:r w:rsidR="002B7E9E">
        <w:rPr>
          <w:rFonts w:cs="Times New Roman"/>
          <w:sz w:val="24"/>
          <w:szCs w:val="24"/>
        </w:rPr>
        <w:t>in</w:t>
      </w:r>
      <w:r w:rsidR="000D0F12" w:rsidRPr="003242E9">
        <w:rPr>
          <w:rFonts w:cs="Times New Roman"/>
          <w:sz w:val="24"/>
          <w:szCs w:val="24"/>
        </w:rPr>
        <w:t>e of keeping up to date with and commenting on economic developments that goes with economic forecasting</w:t>
      </w:r>
      <w:r w:rsidR="0063235F" w:rsidRPr="003242E9">
        <w:rPr>
          <w:rFonts w:cs="Times New Roman"/>
          <w:sz w:val="24"/>
          <w:szCs w:val="24"/>
        </w:rPr>
        <w:t>,</w:t>
      </w:r>
      <w:r w:rsidR="000D0F12" w:rsidRPr="003242E9">
        <w:rPr>
          <w:rFonts w:cs="Times New Roman"/>
          <w:sz w:val="24"/>
          <w:szCs w:val="24"/>
        </w:rPr>
        <w:t xml:space="preserve"> </w:t>
      </w:r>
      <w:r w:rsidR="00C459D5" w:rsidRPr="003242E9">
        <w:rPr>
          <w:rFonts w:cs="Times New Roman"/>
          <w:sz w:val="24"/>
          <w:szCs w:val="24"/>
        </w:rPr>
        <w:t>along with the existence of a</w:t>
      </w:r>
      <w:r w:rsidR="002B7E9E">
        <w:rPr>
          <w:rFonts w:cs="Times New Roman"/>
          <w:sz w:val="24"/>
          <w:szCs w:val="24"/>
        </w:rPr>
        <w:t>n active</w:t>
      </w:r>
      <w:r w:rsidR="00C459D5" w:rsidRPr="003242E9">
        <w:rPr>
          <w:rFonts w:cs="Times New Roman"/>
          <w:sz w:val="24"/>
          <w:szCs w:val="24"/>
        </w:rPr>
        <w:t xml:space="preserve"> user community </w:t>
      </w:r>
      <w:r w:rsidR="000D0F12" w:rsidRPr="003242E9">
        <w:rPr>
          <w:rFonts w:cs="Times New Roman"/>
          <w:sz w:val="24"/>
          <w:szCs w:val="24"/>
        </w:rPr>
        <w:t>has meant that the model has always needed to be relevant</w:t>
      </w:r>
      <w:r w:rsidR="00C459D5" w:rsidRPr="003242E9">
        <w:rPr>
          <w:rFonts w:cs="Times New Roman"/>
          <w:sz w:val="24"/>
          <w:szCs w:val="24"/>
        </w:rPr>
        <w:t>, with fully justifiable assumptions and up to date information every quarter</w:t>
      </w:r>
      <w:r w:rsidR="000D0F12" w:rsidRPr="003242E9">
        <w:rPr>
          <w:rFonts w:cs="Times New Roman"/>
          <w:sz w:val="24"/>
          <w:szCs w:val="24"/>
        </w:rPr>
        <w:t>.</w:t>
      </w:r>
      <w:r w:rsidR="00842F73" w:rsidRPr="003242E9">
        <w:rPr>
          <w:rFonts w:cs="Times New Roman"/>
          <w:sz w:val="24"/>
          <w:szCs w:val="24"/>
        </w:rPr>
        <w:t xml:space="preserve"> </w:t>
      </w:r>
    </w:p>
    <w:p w:rsidR="00F95FF0" w:rsidRDefault="00F95FF0" w:rsidP="003F7C6D">
      <w:pPr>
        <w:jc w:val="both"/>
        <w:rPr>
          <w:rFonts w:cs="Times New Roman"/>
          <w:sz w:val="24"/>
          <w:szCs w:val="24"/>
        </w:rPr>
      </w:pPr>
      <w:r w:rsidRPr="003242E9">
        <w:rPr>
          <w:rFonts w:cs="Times New Roman"/>
          <w:sz w:val="24"/>
          <w:szCs w:val="24"/>
        </w:rPr>
        <w:t xml:space="preserve">This article is organised as follows.  Section 2 briefly describes </w:t>
      </w:r>
      <w:r w:rsidR="00842F73" w:rsidRPr="003242E9">
        <w:rPr>
          <w:rFonts w:cs="Times New Roman"/>
          <w:sz w:val="24"/>
          <w:szCs w:val="24"/>
        </w:rPr>
        <w:t>developments in some of the individual behavioural relationships in the model.  Section 3 describes developments in policy analysis.  Section 4 comments on forecast</w:t>
      </w:r>
      <w:r w:rsidR="00F71043" w:rsidRPr="003242E9">
        <w:rPr>
          <w:rFonts w:cs="Times New Roman"/>
          <w:sz w:val="24"/>
          <w:szCs w:val="24"/>
        </w:rPr>
        <w:t>ing performance</w:t>
      </w:r>
      <w:r w:rsidR="0006070C" w:rsidRPr="003242E9">
        <w:rPr>
          <w:rFonts w:cs="Times New Roman"/>
          <w:sz w:val="24"/>
          <w:szCs w:val="24"/>
        </w:rPr>
        <w:t xml:space="preserve"> and the Institute’s involvement in the analysis of the current conjuncture, as it is referred to by our European partners</w:t>
      </w:r>
      <w:r w:rsidR="00842F73" w:rsidRPr="003242E9">
        <w:rPr>
          <w:rFonts w:cs="Times New Roman"/>
          <w:sz w:val="24"/>
          <w:szCs w:val="24"/>
        </w:rPr>
        <w:t xml:space="preserve">.  Section 5 concludes. </w:t>
      </w:r>
    </w:p>
    <w:p w:rsidR="002B7E9E" w:rsidRDefault="002B7E9E" w:rsidP="003F7C6D">
      <w:pPr>
        <w:jc w:val="both"/>
        <w:rPr>
          <w:rFonts w:cs="Times New Roman"/>
          <w:sz w:val="24"/>
          <w:szCs w:val="24"/>
        </w:rPr>
      </w:pPr>
    </w:p>
    <w:p w:rsidR="0021169B" w:rsidRPr="003242E9" w:rsidRDefault="0021169B" w:rsidP="003F7C6D">
      <w:pPr>
        <w:jc w:val="both"/>
        <w:rPr>
          <w:rFonts w:cs="Times New Roman"/>
          <w:sz w:val="24"/>
          <w:szCs w:val="24"/>
        </w:rPr>
      </w:pPr>
    </w:p>
    <w:p w:rsidR="00F95FF0" w:rsidRPr="003242E9" w:rsidRDefault="00F95FF0" w:rsidP="003F7C6D">
      <w:pPr>
        <w:pStyle w:val="ListParagraph"/>
        <w:numPr>
          <w:ilvl w:val="0"/>
          <w:numId w:val="1"/>
        </w:numPr>
        <w:jc w:val="both"/>
        <w:rPr>
          <w:rFonts w:cs="Times New Roman"/>
          <w:sz w:val="24"/>
          <w:szCs w:val="24"/>
        </w:rPr>
      </w:pPr>
      <w:r w:rsidRPr="003242E9">
        <w:rPr>
          <w:rFonts w:cs="Times New Roman"/>
          <w:sz w:val="24"/>
          <w:szCs w:val="24"/>
        </w:rPr>
        <w:lastRenderedPageBreak/>
        <w:t xml:space="preserve">Developments in </w:t>
      </w:r>
      <w:r w:rsidR="00842F73" w:rsidRPr="003242E9">
        <w:rPr>
          <w:rFonts w:cs="Times New Roman"/>
          <w:sz w:val="24"/>
          <w:szCs w:val="24"/>
        </w:rPr>
        <w:t xml:space="preserve">individual behavioural relationships </w:t>
      </w:r>
    </w:p>
    <w:p w:rsidR="00697866" w:rsidRPr="003242E9" w:rsidRDefault="00BE013A" w:rsidP="003F7C6D">
      <w:pPr>
        <w:jc w:val="both"/>
        <w:rPr>
          <w:rFonts w:cs="Times New Roman"/>
          <w:sz w:val="24"/>
          <w:szCs w:val="24"/>
        </w:rPr>
      </w:pPr>
      <w:r w:rsidRPr="003242E9">
        <w:rPr>
          <w:rFonts w:cs="Times New Roman"/>
          <w:sz w:val="24"/>
          <w:szCs w:val="24"/>
        </w:rPr>
        <w:t xml:space="preserve">As can be seen from the structure of the 1971 version of the Institute model shown in Box 1, the original macroeconomic models contained few </w:t>
      </w:r>
      <w:r w:rsidR="006D3A3C" w:rsidRPr="003242E9">
        <w:rPr>
          <w:rFonts w:cs="Times New Roman"/>
          <w:sz w:val="24"/>
          <w:szCs w:val="24"/>
        </w:rPr>
        <w:t xml:space="preserve">structural </w:t>
      </w:r>
      <w:r w:rsidRPr="003242E9">
        <w:rPr>
          <w:rFonts w:cs="Times New Roman"/>
          <w:sz w:val="24"/>
          <w:szCs w:val="24"/>
        </w:rPr>
        <w:t xml:space="preserve">relationships that </w:t>
      </w:r>
      <w:r w:rsidR="00816BDA" w:rsidRPr="003242E9">
        <w:rPr>
          <w:rFonts w:cs="Times New Roman"/>
          <w:sz w:val="24"/>
          <w:szCs w:val="24"/>
        </w:rPr>
        <w:t>appeared consistent with the optimising behaviour of economic agents</w:t>
      </w:r>
      <w:r w:rsidR="00C7353A" w:rsidRPr="003242E9">
        <w:rPr>
          <w:rFonts w:cs="Times New Roman"/>
          <w:sz w:val="24"/>
          <w:szCs w:val="24"/>
        </w:rPr>
        <w:t xml:space="preserve"> or with the operation of market mechanisms that describe the economy</w:t>
      </w:r>
      <w:r w:rsidR="00816BDA" w:rsidRPr="003242E9">
        <w:rPr>
          <w:rFonts w:cs="Times New Roman"/>
          <w:sz w:val="24"/>
          <w:szCs w:val="24"/>
        </w:rPr>
        <w:t xml:space="preserve">.  </w:t>
      </w:r>
      <w:r w:rsidR="006D3A3C" w:rsidRPr="003242E9">
        <w:rPr>
          <w:rFonts w:cs="Times New Roman"/>
          <w:sz w:val="24"/>
          <w:szCs w:val="24"/>
        </w:rPr>
        <w:t xml:space="preserve">One of the key themes of macroeconomic modelling over the past forty years or </w:t>
      </w:r>
      <w:r w:rsidR="005321E5" w:rsidRPr="003242E9">
        <w:rPr>
          <w:rFonts w:cs="Times New Roman"/>
          <w:sz w:val="24"/>
          <w:szCs w:val="24"/>
        </w:rPr>
        <w:t xml:space="preserve">so </w:t>
      </w:r>
      <w:r w:rsidR="006D3A3C" w:rsidRPr="003242E9">
        <w:rPr>
          <w:rFonts w:cs="Times New Roman"/>
          <w:sz w:val="24"/>
          <w:szCs w:val="24"/>
        </w:rPr>
        <w:t>has been to improve the theoretical underpinnings of the models.  One manifestation of this has been the preference of much of the profession for Dynamic Stochastic General Equilibrium (DSGE) models.</w:t>
      </w:r>
      <w:r w:rsidR="00EE0244" w:rsidRPr="003242E9">
        <w:rPr>
          <w:rStyle w:val="FootnoteReference"/>
          <w:rFonts w:cs="Times New Roman"/>
          <w:sz w:val="24"/>
          <w:szCs w:val="24"/>
        </w:rPr>
        <w:footnoteReference w:id="4"/>
      </w:r>
      <w:r w:rsidR="006D3A3C" w:rsidRPr="003242E9">
        <w:rPr>
          <w:rFonts w:cs="Times New Roman"/>
          <w:sz w:val="24"/>
          <w:szCs w:val="24"/>
        </w:rPr>
        <w:t xml:space="preserve"> </w:t>
      </w:r>
      <w:r w:rsidR="00EE0244" w:rsidRPr="003242E9">
        <w:rPr>
          <w:rFonts w:cs="Times New Roman"/>
          <w:sz w:val="24"/>
          <w:szCs w:val="24"/>
        </w:rPr>
        <w:t xml:space="preserve"> This approach has much to recommend it, and is popular in </w:t>
      </w:r>
      <w:r w:rsidR="005321E5" w:rsidRPr="003242E9">
        <w:rPr>
          <w:rFonts w:cs="Times New Roman"/>
          <w:sz w:val="24"/>
          <w:szCs w:val="24"/>
        </w:rPr>
        <w:t>many</w:t>
      </w:r>
      <w:r w:rsidR="00EE0244" w:rsidRPr="003242E9">
        <w:rPr>
          <w:rFonts w:cs="Times New Roman"/>
          <w:sz w:val="24"/>
          <w:szCs w:val="24"/>
        </w:rPr>
        <w:t xml:space="preserve"> policymaking institutions.  But </w:t>
      </w:r>
      <w:r w:rsidR="00697866" w:rsidRPr="003242E9">
        <w:rPr>
          <w:rFonts w:cs="Times New Roman"/>
          <w:sz w:val="24"/>
          <w:szCs w:val="24"/>
        </w:rPr>
        <w:t xml:space="preserve">DSGE models </w:t>
      </w:r>
      <w:r w:rsidR="00EE0244" w:rsidRPr="003242E9">
        <w:rPr>
          <w:rFonts w:cs="Times New Roman"/>
          <w:sz w:val="24"/>
          <w:szCs w:val="24"/>
        </w:rPr>
        <w:t>have clear disadvantages.  In particular</w:t>
      </w:r>
      <w:r w:rsidR="0006070C" w:rsidRPr="003242E9">
        <w:rPr>
          <w:rFonts w:cs="Times New Roman"/>
          <w:sz w:val="24"/>
          <w:szCs w:val="24"/>
        </w:rPr>
        <w:t>,</w:t>
      </w:r>
      <w:r w:rsidR="00EE0244" w:rsidRPr="003242E9">
        <w:rPr>
          <w:rFonts w:cs="Times New Roman"/>
          <w:sz w:val="24"/>
          <w:szCs w:val="24"/>
        </w:rPr>
        <w:t xml:space="preserve"> they often elevate</w:t>
      </w:r>
      <w:r w:rsidR="0006070C" w:rsidRPr="003242E9">
        <w:rPr>
          <w:rFonts w:cs="Times New Roman"/>
          <w:sz w:val="24"/>
          <w:szCs w:val="24"/>
        </w:rPr>
        <w:t xml:space="preserve"> the current version of</w:t>
      </w:r>
      <w:r w:rsidR="00EE0244" w:rsidRPr="003242E9">
        <w:rPr>
          <w:rFonts w:cs="Times New Roman"/>
          <w:sz w:val="24"/>
          <w:szCs w:val="24"/>
        </w:rPr>
        <w:t xml:space="preserve"> theoretical purity above empirical coherence and end up </w:t>
      </w:r>
      <w:r w:rsidR="00697866" w:rsidRPr="003242E9">
        <w:rPr>
          <w:rFonts w:cs="Times New Roman"/>
          <w:sz w:val="24"/>
          <w:szCs w:val="24"/>
        </w:rPr>
        <w:t xml:space="preserve">with implausible overall properties.  </w:t>
      </w:r>
    </w:p>
    <w:p w:rsidR="00EE0244" w:rsidRPr="003242E9" w:rsidRDefault="00697866" w:rsidP="003F7C6D">
      <w:pPr>
        <w:jc w:val="both"/>
        <w:rPr>
          <w:rFonts w:cs="Times New Roman"/>
          <w:sz w:val="24"/>
          <w:szCs w:val="24"/>
        </w:rPr>
      </w:pPr>
      <w:r w:rsidRPr="003242E9">
        <w:rPr>
          <w:rFonts w:cs="Times New Roman"/>
          <w:sz w:val="24"/>
          <w:szCs w:val="24"/>
        </w:rPr>
        <w:t>W</w:t>
      </w:r>
      <w:r w:rsidR="00EE0244" w:rsidRPr="003242E9">
        <w:rPr>
          <w:rFonts w:cs="Times New Roman"/>
          <w:sz w:val="24"/>
          <w:szCs w:val="24"/>
        </w:rPr>
        <w:t>e agree with Blanchard</w:t>
      </w:r>
      <w:r w:rsidRPr="003242E9">
        <w:rPr>
          <w:rFonts w:cs="Times New Roman"/>
          <w:sz w:val="24"/>
          <w:szCs w:val="24"/>
        </w:rPr>
        <w:t xml:space="preserve"> (2018) that there is a need for different classes of macroeconomic models with different degrees of theoretical purity: ‘at one end, the maximum theoretical purity is indeed the niche of DSGEs.  For those models, fitting the data closely is less important than clarity of structure.  Next come models used for policy purposes, for example, models by central banks or international organisations.  Those must fit the data more closely, and this is likely to require in particular more flexible, less micro-founded lag structure’.  We would put the models developed at the Institute over the past </w:t>
      </w:r>
      <w:r w:rsidR="005321E5" w:rsidRPr="003242E9">
        <w:rPr>
          <w:rFonts w:cs="Times New Roman"/>
          <w:sz w:val="24"/>
          <w:szCs w:val="24"/>
        </w:rPr>
        <w:t xml:space="preserve">forty </w:t>
      </w:r>
      <w:r w:rsidRPr="003242E9">
        <w:rPr>
          <w:rFonts w:cs="Times New Roman"/>
          <w:sz w:val="24"/>
          <w:szCs w:val="24"/>
        </w:rPr>
        <w:t xml:space="preserve">years or </w:t>
      </w:r>
      <w:r w:rsidR="005321E5" w:rsidRPr="003242E9">
        <w:rPr>
          <w:rFonts w:cs="Times New Roman"/>
          <w:sz w:val="24"/>
          <w:szCs w:val="24"/>
        </w:rPr>
        <w:t xml:space="preserve">so </w:t>
      </w:r>
      <w:r w:rsidRPr="003242E9">
        <w:rPr>
          <w:rFonts w:cs="Times New Roman"/>
          <w:sz w:val="24"/>
          <w:szCs w:val="24"/>
        </w:rPr>
        <w:t xml:space="preserve">in the latter category.  </w:t>
      </w:r>
      <w:r w:rsidR="00745FD9" w:rsidRPr="003242E9">
        <w:rPr>
          <w:rFonts w:cs="Times New Roman"/>
          <w:sz w:val="24"/>
          <w:szCs w:val="24"/>
        </w:rPr>
        <w:t xml:space="preserve">They could be described as incorporating micro-founded long-run relationships with flexible lag structures that </w:t>
      </w:r>
      <w:r w:rsidR="005321E5" w:rsidRPr="003242E9">
        <w:rPr>
          <w:rFonts w:cs="Times New Roman"/>
          <w:sz w:val="24"/>
          <w:szCs w:val="24"/>
        </w:rPr>
        <w:t xml:space="preserve">are </w:t>
      </w:r>
      <w:r w:rsidR="00745FD9" w:rsidRPr="003242E9">
        <w:rPr>
          <w:rFonts w:cs="Times New Roman"/>
          <w:sz w:val="24"/>
          <w:szCs w:val="24"/>
        </w:rPr>
        <w:t>fit</w:t>
      </w:r>
      <w:r w:rsidR="005321E5" w:rsidRPr="003242E9">
        <w:rPr>
          <w:rFonts w:cs="Times New Roman"/>
          <w:sz w:val="24"/>
          <w:szCs w:val="24"/>
        </w:rPr>
        <w:t xml:space="preserve">ted to </w:t>
      </w:r>
      <w:r w:rsidR="00745FD9" w:rsidRPr="003242E9">
        <w:rPr>
          <w:rFonts w:cs="Times New Roman"/>
          <w:sz w:val="24"/>
          <w:szCs w:val="24"/>
        </w:rPr>
        <w:t>the data.</w:t>
      </w:r>
    </w:p>
    <w:p w:rsidR="00C25A93" w:rsidRPr="003242E9" w:rsidRDefault="001C3171" w:rsidP="003F7C6D">
      <w:pPr>
        <w:jc w:val="both"/>
        <w:rPr>
          <w:rFonts w:cs="Times New Roman"/>
          <w:sz w:val="24"/>
          <w:szCs w:val="24"/>
        </w:rPr>
      </w:pPr>
      <w:r w:rsidRPr="003242E9">
        <w:rPr>
          <w:rFonts w:cs="Times New Roman"/>
          <w:sz w:val="24"/>
          <w:szCs w:val="24"/>
        </w:rPr>
        <w:t xml:space="preserve">The current </w:t>
      </w:r>
      <w:proofErr w:type="spellStart"/>
      <w:r w:rsidRPr="003242E9">
        <w:rPr>
          <w:rFonts w:cs="Times New Roman"/>
          <w:sz w:val="24"/>
          <w:szCs w:val="24"/>
        </w:rPr>
        <w:t>NiGEM</w:t>
      </w:r>
      <w:proofErr w:type="spellEnd"/>
      <w:r w:rsidRPr="003242E9">
        <w:rPr>
          <w:rFonts w:cs="Times New Roman"/>
          <w:sz w:val="24"/>
          <w:szCs w:val="24"/>
        </w:rPr>
        <w:t xml:space="preserve"> model is the latest manifestation of this general methodological approach.  It is described in detail in </w:t>
      </w:r>
      <w:proofErr w:type="spellStart"/>
      <w:r w:rsidRPr="003242E9">
        <w:rPr>
          <w:rFonts w:cs="Times New Roman"/>
          <w:sz w:val="24"/>
          <w:szCs w:val="24"/>
        </w:rPr>
        <w:t>Hantzsche</w:t>
      </w:r>
      <w:proofErr w:type="spellEnd"/>
      <w:r w:rsidRPr="003242E9">
        <w:rPr>
          <w:rFonts w:cs="Times New Roman"/>
          <w:sz w:val="24"/>
          <w:szCs w:val="24"/>
        </w:rPr>
        <w:t xml:space="preserve">, </w:t>
      </w:r>
      <w:proofErr w:type="spellStart"/>
      <w:r w:rsidRPr="003242E9">
        <w:rPr>
          <w:rFonts w:cs="Times New Roman"/>
          <w:sz w:val="24"/>
          <w:szCs w:val="24"/>
        </w:rPr>
        <w:t>Lopresto</w:t>
      </w:r>
      <w:proofErr w:type="spellEnd"/>
      <w:r w:rsidRPr="003242E9">
        <w:rPr>
          <w:rFonts w:cs="Times New Roman"/>
          <w:sz w:val="24"/>
          <w:szCs w:val="24"/>
        </w:rPr>
        <w:t xml:space="preserve"> and Young (2018).  </w:t>
      </w:r>
      <w:r w:rsidR="00C25A93" w:rsidRPr="003242E9">
        <w:rPr>
          <w:rFonts w:cs="Times New Roman"/>
          <w:sz w:val="24"/>
          <w:szCs w:val="24"/>
        </w:rPr>
        <w:t xml:space="preserve">In what follows we describe some of the developments that led towards the current version of the </w:t>
      </w:r>
      <w:proofErr w:type="spellStart"/>
      <w:r w:rsidR="00C25A93" w:rsidRPr="003242E9">
        <w:rPr>
          <w:rFonts w:cs="Times New Roman"/>
          <w:sz w:val="24"/>
          <w:szCs w:val="24"/>
        </w:rPr>
        <w:t>NiGEM</w:t>
      </w:r>
      <w:proofErr w:type="spellEnd"/>
      <w:r w:rsidR="00C25A93" w:rsidRPr="003242E9">
        <w:rPr>
          <w:rFonts w:cs="Times New Roman"/>
          <w:sz w:val="24"/>
          <w:szCs w:val="24"/>
        </w:rPr>
        <w:t xml:space="preserve"> model.  </w:t>
      </w:r>
    </w:p>
    <w:p w:rsidR="00C25A93" w:rsidRPr="003242E9" w:rsidRDefault="00C25A93" w:rsidP="003F7C6D">
      <w:pPr>
        <w:jc w:val="both"/>
        <w:rPr>
          <w:rFonts w:cs="Times New Roman"/>
          <w:i/>
          <w:sz w:val="24"/>
          <w:szCs w:val="24"/>
        </w:rPr>
      </w:pPr>
      <w:r w:rsidRPr="003242E9">
        <w:rPr>
          <w:rFonts w:cs="Times New Roman"/>
          <w:i/>
          <w:sz w:val="24"/>
          <w:szCs w:val="24"/>
        </w:rPr>
        <w:t>Consumption, wealth and house prices</w:t>
      </w:r>
    </w:p>
    <w:p w:rsidR="00C25A93" w:rsidRPr="003242E9" w:rsidRDefault="00C25A93" w:rsidP="003F7C6D">
      <w:pPr>
        <w:jc w:val="both"/>
        <w:rPr>
          <w:rFonts w:cs="Times New Roman"/>
          <w:sz w:val="24"/>
          <w:szCs w:val="24"/>
        </w:rPr>
      </w:pPr>
      <w:r w:rsidRPr="003242E9">
        <w:rPr>
          <w:rFonts w:cs="Times New Roman"/>
          <w:sz w:val="24"/>
          <w:szCs w:val="24"/>
        </w:rPr>
        <w:t xml:space="preserve">The largest single component of GDP on the expenditure side is consumption, and a great deal of the modelling activity of the </w:t>
      </w:r>
      <w:proofErr w:type="spellStart"/>
      <w:r w:rsidRPr="003242E9">
        <w:rPr>
          <w:rFonts w:cs="Times New Roman"/>
          <w:sz w:val="24"/>
          <w:szCs w:val="24"/>
        </w:rPr>
        <w:t>NiGEM</w:t>
      </w:r>
      <w:proofErr w:type="spellEnd"/>
      <w:r w:rsidRPr="003242E9">
        <w:rPr>
          <w:rFonts w:cs="Times New Roman"/>
          <w:sz w:val="24"/>
          <w:szCs w:val="24"/>
        </w:rPr>
        <w:t xml:space="preserve"> team was centred on analysing and forecasting its behaviour. It has always been clear that both personal income and personal wealth affected behaviour, but the relative impacts and the speed of reaction are a largely empirical matter. A number of studies undertaken by Institute staff looked for wealth effects on aggregate consumption, and the importance of differences in country impacts is discussed in a panel context and then applied to the model in Barrell, Byrne and </w:t>
      </w:r>
      <w:proofErr w:type="spellStart"/>
      <w:r w:rsidRPr="003242E9">
        <w:rPr>
          <w:rFonts w:cs="Times New Roman"/>
          <w:sz w:val="24"/>
          <w:szCs w:val="24"/>
        </w:rPr>
        <w:t>Dury</w:t>
      </w:r>
      <w:proofErr w:type="spellEnd"/>
      <w:r w:rsidRPr="003242E9">
        <w:rPr>
          <w:rFonts w:cs="Times New Roman"/>
          <w:sz w:val="24"/>
          <w:szCs w:val="24"/>
        </w:rPr>
        <w:t xml:space="preserve"> (2003). Although some theorists </w:t>
      </w:r>
      <w:r w:rsidR="00C459D5" w:rsidRPr="003242E9">
        <w:rPr>
          <w:rFonts w:cs="Times New Roman"/>
          <w:sz w:val="24"/>
          <w:szCs w:val="24"/>
        </w:rPr>
        <w:t xml:space="preserve">have </w:t>
      </w:r>
      <w:r w:rsidRPr="003242E9">
        <w:rPr>
          <w:rFonts w:cs="Times New Roman"/>
          <w:sz w:val="24"/>
          <w:szCs w:val="24"/>
        </w:rPr>
        <w:t>suggest</w:t>
      </w:r>
      <w:r w:rsidR="00C459D5" w:rsidRPr="003242E9">
        <w:rPr>
          <w:rFonts w:cs="Times New Roman"/>
          <w:sz w:val="24"/>
          <w:szCs w:val="24"/>
        </w:rPr>
        <w:t>ed</w:t>
      </w:r>
      <w:r w:rsidRPr="003242E9">
        <w:rPr>
          <w:rFonts w:cs="Times New Roman"/>
          <w:sz w:val="24"/>
          <w:szCs w:val="24"/>
        </w:rPr>
        <w:t xml:space="preserve"> that housing wealth </w:t>
      </w:r>
      <w:r w:rsidR="00C459D5" w:rsidRPr="003242E9">
        <w:rPr>
          <w:rFonts w:cs="Times New Roman"/>
          <w:sz w:val="24"/>
          <w:szCs w:val="24"/>
        </w:rPr>
        <w:t xml:space="preserve">cannot be </w:t>
      </w:r>
      <w:r w:rsidRPr="003242E9">
        <w:rPr>
          <w:rFonts w:cs="Times New Roman"/>
          <w:sz w:val="24"/>
          <w:szCs w:val="24"/>
        </w:rPr>
        <w:t>aggregate wealth, it clearly affects behaviour</w:t>
      </w:r>
      <w:r w:rsidR="00C459D5" w:rsidRPr="003242E9">
        <w:rPr>
          <w:rStyle w:val="FootnoteReference"/>
          <w:rFonts w:cs="Times New Roman"/>
          <w:sz w:val="24"/>
          <w:szCs w:val="24"/>
        </w:rPr>
        <w:footnoteReference w:id="5"/>
      </w:r>
      <w:r w:rsidRPr="003242E9">
        <w:rPr>
          <w:rFonts w:cs="Times New Roman"/>
          <w:sz w:val="24"/>
          <w:szCs w:val="24"/>
        </w:rPr>
        <w:t xml:space="preserve">, and from around 2000 onwards housing markets were built in to </w:t>
      </w:r>
      <w:proofErr w:type="spellStart"/>
      <w:r w:rsidRPr="003242E9">
        <w:rPr>
          <w:rFonts w:cs="Times New Roman"/>
          <w:sz w:val="24"/>
          <w:szCs w:val="24"/>
        </w:rPr>
        <w:t>NiGEM</w:t>
      </w:r>
      <w:proofErr w:type="spellEnd"/>
      <w:r w:rsidRPr="003242E9">
        <w:rPr>
          <w:rFonts w:cs="Times New Roman"/>
          <w:sz w:val="24"/>
          <w:szCs w:val="24"/>
        </w:rPr>
        <w:t xml:space="preserve"> as data became available. It is clear that housing wealth has a much more rapid impact on consumption than does financial or stock market wealth, with an initial impact five times as </w:t>
      </w:r>
      <w:r w:rsidRPr="003242E9">
        <w:rPr>
          <w:rFonts w:cs="Times New Roman"/>
          <w:sz w:val="24"/>
          <w:szCs w:val="24"/>
        </w:rPr>
        <w:lastRenderedPageBreak/>
        <w:t xml:space="preserve">large. This of course differs between countries, with financial wealth being more important in the US in the short term than in continental counties such as Germany and France. The </w:t>
      </w:r>
      <w:r w:rsidR="00C7353A" w:rsidRPr="003242E9">
        <w:rPr>
          <w:rFonts w:cs="Times New Roman"/>
          <w:sz w:val="24"/>
          <w:szCs w:val="24"/>
        </w:rPr>
        <w:t xml:space="preserve">background </w:t>
      </w:r>
      <w:r w:rsidRPr="003242E9">
        <w:rPr>
          <w:rFonts w:cs="Times New Roman"/>
          <w:sz w:val="24"/>
          <w:szCs w:val="24"/>
        </w:rPr>
        <w:t xml:space="preserve">work on the </w:t>
      </w:r>
      <w:r w:rsidR="00C7353A" w:rsidRPr="003242E9">
        <w:rPr>
          <w:rFonts w:cs="Times New Roman"/>
          <w:sz w:val="24"/>
          <w:szCs w:val="24"/>
        </w:rPr>
        <w:t xml:space="preserve">relation between consumption and housing wealth </w:t>
      </w:r>
      <w:r w:rsidRPr="003242E9">
        <w:rPr>
          <w:rFonts w:cs="Times New Roman"/>
          <w:sz w:val="24"/>
          <w:szCs w:val="24"/>
        </w:rPr>
        <w:t>is discussed in Barrell and Davis (2007) and the impacts of house prices and wealth on reactions of consumers to financial crises is evaluated bay Barrel</w:t>
      </w:r>
      <w:r w:rsidR="00C7353A" w:rsidRPr="003242E9">
        <w:rPr>
          <w:rFonts w:cs="Times New Roman"/>
          <w:sz w:val="24"/>
          <w:szCs w:val="24"/>
        </w:rPr>
        <w:t>l</w:t>
      </w:r>
      <w:r w:rsidRPr="003242E9">
        <w:rPr>
          <w:rFonts w:cs="Times New Roman"/>
          <w:sz w:val="24"/>
          <w:szCs w:val="24"/>
        </w:rPr>
        <w:t>, Davis and Pomerantz (2006). Although the consumption equations were estimated on data, we can see current income as a proxy for expected income, and in policy analysis consumption on the model can be turned fully forward looking, affecting both fiscal multipliers and the possibility of events in the future affecting consumption now. This capacity has been used in the evaluation of policies for extending working lives through raising retirement ages in Barrell</w:t>
      </w:r>
      <w:r w:rsidR="00862A9D">
        <w:rPr>
          <w:rFonts w:cs="Times New Roman"/>
          <w:sz w:val="24"/>
          <w:szCs w:val="24"/>
        </w:rPr>
        <w:t>,</w:t>
      </w:r>
      <w:r w:rsidRPr="003242E9">
        <w:rPr>
          <w:rFonts w:cs="Times New Roman"/>
          <w:sz w:val="24"/>
          <w:szCs w:val="24"/>
        </w:rPr>
        <w:t xml:space="preserve"> Kirby and </w:t>
      </w:r>
      <w:proofErr w:type="spellStart"/>
      <w:r w:rsidRPr="003242E9">
        <w:rPr>
          <w:rFonts w:cs="Times New Roman"/>
          <w:sz w:val="24"/>
          <w:szCs w:val="24"/>
        </w:rPr>
        <w:t>Orazgani</w:t>
      </w:r>
      <w:proofErr w:type="spellEnd"/>
      <w:r w:rsidRPr="003242E9">
        <w:rPr>
          <w:rFonts w:cs="Times New Roman"/>
          <w:sz w:val="24"/>
          <w:szCs w:val="24"/>
        </w:rPr>
        <w:t xml:space="preserve"> (2011) and Barrell (2011)</w:t>
      </w:r>
    </w:p>
    <w:p w:rsidR="001A60A5" w:rsidRPr="003242E9" w:rsidRDefault="001A60A5" w:rsidP="003F7C6D">
      <w:pPr>
        <w:jc w:val="both"/>
        <w:rPr>
          <w:rFonts w:cs="Times New Roman"/>
          <w:i/>
          <w:sz w:val="24"/>
          <w:szCs w:val="24"/>
        </w:rPr>
      </w:pPr>
      <w:r w:rsidRPr="003242E9">
        <w:rPr>
          <w:rFonts w:cs="Times New Roman"/>
          <w:i/>
          <w:sz w:val="24"/>
          <w:szCs w:val="24"/>
        </w:rPr>
        <w:t>Factor demands and the labour market</w:t>
      </w:r>
    </w:p>
    <w:p w:rsidR="001D46B7" w:rsidRPr="003242E9" w:rsidRDefault="00943817" w:rsidP="003F7C6D">
      <w:pPr>
        <w:jc w:val="both"/>
        <w:rPr>
          <w:rFonts w:cs="Times New Roman"/>
          <w:sz w:val="24"/>
          <w:szCs w:val="24"/>
        </w:rPr>
      </w:pPr>
      <w:r w:rsidRPr="003242E9">
        <w:rPr>
          <w:rFonts w:cs="Times New Roman"/>
          <w:sz w:val="24"/>
          <w:szCs w:val="24"/>
        </w:rPr>
        <w:t xml:space="preserve">On the supply side, </w:t>
      </w:r>
      <w:r w:rsidR="001A60A5" w:rsidRPr="003242E9">
        <w:rPr>
          <w:rFonts w:cs="Times New Roman"/>
          <w:sz w:val="24"/>
          <w:szCs w:val="24"/>
        </w:rPr>
        <w:t xml:space="preserve">Institute models </w:t>
      </w:r>
      <w:r w:rsidRPr="003242E9">
        <w:rPr>
          <w:rFonts w:cs="Times New Roman"/>
          <w:sz w:val="24"/>
          <w:szCs w:val="24"/>
        </w:rPr>
        <w:t xml:space="preserve">have </w:t>
      </w:r>
      <w:r w:rsidR="001A60A5" w:rsidRPr="003242E9">
        <w:rPr>
          <w:rFonts w:cs="Times New Roman"/>
          <w:sz w:val="24"/>
          <w:szCs w:val="24"/>
        </w:rPr>
        <w:t xml:space="preserve">generally </w:t>
      </w:r>
      <w:r w:rsidRPr="003242E9">
        <w:rPr>
          <w:rFonts w:cs="Times New Roman"/>
          <w:sz w:val="24"/>
          <w:szCs w:val="24"/>
        </w:rPr>
        <w:t>been based around a production function of varying degrees of complexity, depending on the application.  For example</w:t>
      </w:r>
      <w:r w:rsidR="00753509" w:rsidRPr="003242E9">
        <w:rPr>
          <w:rFonts w:cs="Times New Roman"/>
          <w:sz w:val="24"/>
          <w:szCs w:val="24"/>
        </w:rPr>
        <w:t>, in their work for the UK mode</w:t>
      </w:r>
      <w:r w:rsidR="00C7353A" w:rsidRPr="003242E9">
        <w:rPr>
          <w:rFonts w:cs="Times New Roman"/>
          <w:sz w:val="24"/>
          <w:szCs w:val="24"/>
        </w:rPr>
        <w:t>l</w:t>
      </w:r>
      <w:r w:rsidRPr="003242E9">
        <w:rPr>
          <w:rFonts w:cs="Times New Roman"/>
          <w:sz w:val="24"/>
          <w:szCs w:val="24"/>
        </w:rPr>
        <w:t>, Riley and Young (2007</w:t>
      </w:r>
      <w:r w:rsidR="00753509" w:rsidRPr="003242E9">
        <w:rPr>
          <w:rFonts w:cs="Times New Roman"/>
          <w:sz w:val="24"/>
          <w:szCs w:val="24"/>
        </w:rPr>
        <w:t xml:space="preserve">) looked at </w:t>
      </w:r>
      <w:r w:rsidR="009621DD" w:rsidRPr="003242E9">
        <w:rPr>
          <w:rFonts w:cs="Times New Roman"/>
          <w:sz w:val="24"/>
          <w:szCs w:val="24"/>
        </w:rPr>
        <w:t>the effect of skill-biased technical change on equilibrium unemployment</w:t>
      </w:r>
      <w:r w:rsidR="00753509" w:rsidRPr="003242E9">
        <w:rPr>
          <w:rFonts w:cs="Times New Roman"/>
          <w:sz w:val="24"/>
          <w:szCs w:val="24"/>
        </w:rPr>
        <w:t>. They</w:t>
      </w:r>
      <w:r w:rsidR="009621DD" w:rsidRPr="003242E9">
        <w:rPr>
          <w:rFonts w:cs="Times New Roman"/>
          <w:sz w:val="24"/>
          <w:szCs w:val="24"/>
        </w:rPr>
        <w:t xml:space="preserve"> estimated the parameters of sectoral production functions allowing for substitution across five different skill groups.  </w:t>
      </w:r>
      <w:r w:rsidR="00664D40" w:rsidRPr="003242E9">
        <w:rPr>
          <w:rFonts w:cs="Times New Roman"/>
          <w:sz w:val="24"/>
          <w:szCs w:val="24"/>
        </w:rPr>
        <w:t xml:space="preserve"> </w:t>
      </w:r>
      <w:r w:rsidR="001D46B7" w:rsidRPr="003242E9">
        <w:rPr>
          <w:rFonts w:cs="Times New Roman"/>
          <w:sz w:val="24"/>
          <w:szCs w:val="24"/>
        </w:rPr>
        <w:t xml:space="preserve">Factor demands in </w:t>
      </w:r>
      <w:proofErr w:type="spellStart"/>
      <w:r w:rsidR="001D46B7" w:rsidRPr="003242E9">
        <w:rPr>
          <w:rFonts w:cs="Times New Roman"/>
          <w:sz w:val="24"/>
          <w:szCs w:val="24"/>
        </w:rPr>
        <w:t>NiGEM</w:t>
      </w:r>
      <w:proofErr w:type="spellEnd"/>
      <w:r w:rsidR="001D46B7" w:rsidRPr="003242E9">
        <w:rPr>
          <w:rFonts w:cs="Times New Roman"/>
          <w:sz w:val="24"/>
          <w:szCs w:val="24"/>
        </w:rPr>
        <w:t xml:space="preserve"> have been based </w:t>
      </w:r>
      <w:r w:rsidR="00753509" w:rsidRPr="003242E9">
        <w:rPr>
          <w:rFonts w:cs="Times New Roman"/>
          <w:sz w:val="24"/>
          <w:szCs w:val="24"/>
        </w:rPr>
        <w:t xml:space="preserve">on a simpler approach using </w:t>
      </w:r>
      <w:r w:rsidR="001D46B7" w:rsidRPr="003242E9">
        <w:rPr>
          <w:rFonts w:cs="Times New Roman"/>
          <w:sz w:val="24"/>
          <w:szCs w:val="24"/>
        </w:rPr>
        <w:t xml:space="preserve">an underlying </w:t>
      </w:r>
      <w:r w:rsidR="009621DD" w:rsidRPr="003242E9">
        <w:rPr>
          <w:rFonts w:cs="Times New Roman"/>
          <w:sz w:val="24"/>
          <w:szCs w:val="24"/>
        </w:rPr>
        <w:t>aggregate production function</w:t>
      </w:r>
      <w:r w:rsidR="001D46B7" w:rsidRPr="003242E9">
        <w:rPr>
          <w:rFonts w:cs="Times New Roman"/>
          <w:sz w:val="24"/>
          <w:szCs w:val="24"/>
        </w:rPr>
        <w:t>.  This is assumed to be of the Constant Elasticity of Substitution (CES) form.  Barrell and Pain (1997) use the implied labour demand relationship to estimate both the elasticity of substation (which averages around a half) and the (coefficient on) technical progress. The availability of capital stock data makes it possible to integrate this back in to a capital demand and investment relationship.  This can also be used to infer capacity output given available factor inputs.</w:t>
      </w:r>
    </w:p>
    <w:p w:rsidR="00C25A93" w:rsidRPr="003242E9" w:rsidRDefault="0067400A" w:rsidP="003F7C6D">
      <w:pPr>
        <w:jc w:val="both"/>
        <w:rPr>
          <w:rFonts w:cs="Times New Roman"/>
          <w:sz w:val="24"/>
          <w:szCs w:val="24"/>
        </w:rPr>
      </w:pPr>
      <w:r w:rsidRPr="003242E9">
        <w:rPr>
          <w:rFonts w:cs="Times New Roman"/>
          <w:sz w:val="24"/>
          <w:szCs w:val="24"/>
        </w:rPr>
        <w:t>E</w:t>
      </w:r>
      <w:r w:rsidR="001A60A5" w:rsidRPr="003242E9">
        <w:rPr>
          <w:rFonts w:cs="Times New Roman"/>
          <w:sz w:val="24"/>
          <w:szCs w:val="24"/>
        </w:rPr>
        <w:t xml:space="preserve">quilibrium unemployment or the NAIRU </w:t>
      </w:r>
      <w:r w:rsidR="0063235F" w:rsidRPr="003242E9">
        <w:rPr>
          <w:rFonts w:cs="Times New Roman"/>
          <w:sz w:val="24"/>
          <w:szCs w:val="24"/>
        </w:rPr>
        <w:t xml:space="preserve">is </w:t>
      </w:r>
      <w:r w:rsidR="001A60A5" w:rsidRPr="003242E9">
        <w:rPr>
          <w:rFonts w:cs="Times New Roman"/>
          <w:sz w:val="24"/>
          <w:szCs w:val="24"/>
        </w:rPr>
        <w:t xml:space="preserve">determined by a labour demand equation based on the CES production function in the model and on forward looking wage equations based on </w:t>
      </w:r>
      <w:proofErr w:type="gramStart"/>
      <w:r w:rsidR="001A60A5" w:rsidRPr="003242E9">
        <w:rPr>
          <w:rFonts w:cs="Times New Roman"/>
          <w:sz w:val="24"/>
          <w:szCs w:val="24"/>
        </w:rPr>
        <w:t>bargaining</w:t>
      </w:r>
      <w:r w:rsidR="00C7353A" w:rsidRPr="003242E9">
        <w:rPr>
          <w:rFonts w:cs="Times New Roman"/>
          <w:sz w:val="24"/>
          <w:szCs w:val="24"/>
        </w:rPr>
        <w:t xml:space="preserve">  as</w:t>
      </w:r>
      <w:proofErr w:type="gramEnd"/>
      <w:r w:rsidR="001A60A5" w:rsidRPr="003242E9">
        <w:rPr>
          <w:rFonts w:cs="Times New Roman"/>
          <w:sz w:val="24"/>
          <w:szCs w:val="24"/>
        </w:rPr>
        <w:t xml:space="preserve"> in Anderton and Barrell (1995) and Barrell and </w:t>
      </w:r>
      <w:proofErr w:type="spellStart"/>
      <w:r w:rsidR="001A60A5" w:rsidRPr="003242E9">
        <w:rPr>
          <w:rFonts w:cs="Times New Roman"/>
          <w:sz w:val="24"/>
          <w:szCs w:val="24"/>
        </w:rPr>
        <w:t>Dury</w:t>
      </w:r>
      <w:proofErr w:type="spellEnd"/>
      <w:r w:rsidR="001A60A5" w:rsidRPr="003242E9">
        <w:rPr>
          <w:rFonts w:cs="Times New Roman"/>
          <w:sz w:val="24"/>
          <w:szCs w:val="24"/>
        </w:rPr>
        <w:t xml:space="preserve"> (2003). In the model the N</w:t>
      </w:r>
      <w:r w:rsidRPr="003242E9">
        <w:rPr>
          <w:rFonts w:cs="Times New Roman"/>
          <w:sz w:val="24"/>
          <w:szCs w:val="24"/>
        </w:rPr>
        <w:t xml:space="preserve">AIRU </w:t>
      </w:r>
      <w:r w:rsidR="00C7353A" w:rsidRPr="003242E9">
        <w:rPr>
          <w:rFonts w:cs="Times New Roman"/>
          <w:sz w:val="24"/>
          <w:szCs w:val="24"/>
        </w:rPr>
        <w:t xml:space="preserve">varies over time as it </w:t>
      </w:r>
      <w:r w:rsidR="00154353" w:rsidRPr="003242E9">
        <w:rPr>
          <w:rFonts w:cs="Times New Roman"/>
          <w:sz w:val="24"/>
          <w:szCs w:val="24"/>
        </w:rPr>
        <w:t xml:space="preserve">is correctly </w:t>
      </w:r>
      <w:r w:rsidRPr="003242E9">
        <w:rPr>
          <w:rFonts w:cs="Times New Roman"/>
          <w:sz w:val="24"/>
          <w:szCs w:val="24"/>
        </w:rPr>
        <w:t xml:space="preserve">specified </w:t>
      </w:r>
      <w:r w:rsidR="001A60A5" w:rsidRPr="003242E9">
        <w:rPr>
          <w:rFonts w:cs="Times New Roman"/>
          <w:sz w:val="24"/>
          <w:szCs w:val="24"/>
        </w:rPr>
        <w:t xml:space="preserve">as an identity depending on the real exchange rate, consumer and producer prices and the tax wedge as well as the factors affecting the wage bargain in the wage equation and the parameters of the production function. The existence of an equilibrium in the labour market in each of the economies covered by the model made it possible to undertake analysis of the factors affecting migration flows in Europe (Barrell, Gottschalk, Kirby and </w:t>
      </w:r>
      <w:proofErr w:type="spellStart"/>
      <w:r w:rsidR="001A60A5" w:rsidRPr="003242E9">
        <w:rPr>
          <w:rFonts w:cs="Times New Roman"/>
          <w:sz w:val="24"/>
          <w:szCs w:val="24"/>
        </w:rPr>
        <w:t>Orazgani</w:t>
      </w:r>
      <w:proofErr w:type="spellEnd"/>
      <w:r w:rsidRPr="003242E9">
        <w:rPr>
          <w:rFonts w:cs="Times New Roman"/>
          <w:sz w:val="24"/>
          <w:szCs w:val="24"/>
        </w:rPr>
        <w:t xml:space="preserve">, </w:t>
      </w:r>
      <w:r w:rsidR="001A60A5" w:rsidRPr="003242E9">
        <w:rPr>
          <w:rFonts w:cs="Times New Roman"/>
          <w:sz w:val="24"/>
          <w:szCs w:val="24"/>
        </w:rPr>
        <w:t>2009) and their impact on the European economies and elsewhere (Barrell, Riley and Fitzgerald 2010). The existence of a reasonable labour market with a clear, unique, but changing equilibrium was essential to much of the policy work undertaken with the Global model</w:t>
      </w:r>
    </w:p>
    <w:p w:rsidR="001C4421" w:rsidRPr="003242E9" w:rsidRDefault="001C4421" w:rsidP="003F7C6D">
      <w:pPr>
        <w:pStyle w:val="ListParagraph"/>
        <w:numPr>
          <w:ilvl w:val="0"/>
          <w:numId w:val="1"/>
        </w:numPr>
        <w:jc w:val="both"/>
        <w:rPr>
          <w:rFonts w:cs="Times New Roman"/>
          <w:sz w:val="24"/>
          <w:szCs w:val="24"/>
        </w:rPr>
      </w:pPr>
      <w:r w:rsidRPr="003242E9">
        <w:rPr>
          <w:rFonts w:cs="Times New Roman"/>
          <w:sz w:val="24"/>
          <w:szCs w:val="24"/>
        </w:rPr>
        <w:t xml:space="preserve">Developments in policy analysis </w:t>
      </w:r>
    </w:p>
    <w:p w:rsidR="001C4421" w:rsidRPr="003242E9" w:rsidRDefault="001C4421" w:rsidP="003F7C6D">
      <w:pPr>
        <w:jc w:val="both"/>
        <w:rPr>
          <w:rFonts w:cs="Times New Roman"/>
          <w:sz w:val="24"/>
          <w:szCs w:val="24"/>
        </w:rPr>
      </w:pPr>
      <w:r w:rsidRPr="003242E9">
        <w:rPr>
          <w:rFonts w:cs="Times New Roman"/>
          <w:sz w:val="24"/>
          <w:szCs w:val="24"/>
        </w:rPr>
        <w:t>The macroeconomic models developed at the Institute have always been used as frameworks for the discussion of economic policy.</w:t>
      </w:r>
      <w:r w:rsidR="000B2303" w:rsidRPr="003242E9">
        <w:rPr>
          <w:rFonts w:cs="Times New Roman"/>
          <w:sz w:val="24"/>
          <w:szCs w:val="24"/>
        </w:rPr>
        <w:t xml:space="preserve">  </w:t>
      </w:r>
      <w:r w:rsidR="00DC17D8" w:rsidRPr="003242E9">
        <w:rPr>
          <w:rFonts w:cs="Times New Roman"/>
          <w:sz w:val="24"/>
          <w:szCs w:val="24"/>
        </w:rPr>
        <w:t>But, a</w:t>
      </w:r>
      <w:r w:rsidR="000B2303" w:rsidRPr="003242E9">
        <w:rPr>
          <w:rFonts w:cs="Times New Roman"/>
          <w:sz w:val="24"/>
          <w:szCs w:val="24"/>
        </w:rPr>
        <w:t xml:space="preserve">s discussed by Stephen Hall and Brian Henry in this </w:t>
      </w:r>
      <w:r w:rsidR="000B2303" w:rsidRPr="003242E9">
        <w:rPr>
          <w:rFonts w:cs="Times New Roman"/>
          <w:i/>
          <w:sz w:val="24"/>
          <w:szCs w:val="24"/>
        </w:rPr>
        <w:t>Review</w:t>
      </w:r>
      <w:r w:rsidR="000B2303" w:rsidRPr="003242E9">
        <w:rPr>
          <w:rFonts w:cs="Times New Roman"/>
          <w:sz w:val="24"/>
          <w:szCs w:val="24"/>
        </w:rPr>
        <w:t xml:space="preserve">, the </w:t>
      </w:r>
      <w:r w:rsidR="0095392D" w:rsidRPr="003242E9">
        <w:rPr>
          <w:rFonts w:cs="Times New Roman"/>
          <w:sz w:val="24"/>
          <w:szCs w:val="24"/>
        </w:rPr>
        <w:t xml:space="preserve">1976 </w:t>
      </w:r>
      <w:r w:rsidR="000B2303" w:rsidRPr="003242E9">
        <w:rPr>
          <w:rFonts w:cs="Times New Roman"/>
          <w:sz w:val="24"/>
          <w:szCs w:val="24"/>
        </w:rPr>
        <w:t xml:space="preserve">Lucas critique called into question the validity of using models as then specified for this purpose.  As the models became increasingly coherent, </w:t>
      </w:r>
      <w:r w:rsidR="00B8205B" w:rsidRPr="003242E9">
        <w:rPr>
          <w:rFonts w:cs="Times New Roman"/>
          <w:sz w:val="24"/>
          <w:szCs w:val="24"/>
        </w:rPr>
        <w:t xml:space="preserve">partly in reaction to </w:t>
      </w:r>
      <w:r w:rsidR="00B8205B" w:rsidRPr="003242E9">
        <w:rPr>
          <w:rFonts w:cs="Times New Roman"/>
          <w:sz w:val="24"/>
          <w:szCs w:val="24"/>
        </w:rPr>
        <w:lastRenderedPageBreak/>
        <w:t xml:space="preserve">the Lucas critique, </w:t>
      </w:r>
      <w:r w:rsidR="000C3052" w:rsidRPr="003242E9">
        <w:rPr>
          <w:rFonts w:cs="Times New Roman"/>
          <w:sz w:val="24"/>
          <w:szCs w:val="24"/>
        </w:rPr>
        <w:t xml:space="preserve">policy analysis also needed to become more sophisticated.  </w:t>
      </w:r>
      <w:r w:rsidR="004050C9" w:rsidRPr="003242E9">
        <w:rPr>
          <w:rFonts w:cs="Times New Roman"/>
          <w:sz w:val="24"/>
          <w:szCs w:val="24"/>
        </w:rPr>
        <w:t xml:space="preserve">In particular, </w:t>
      </w:r>
      <w:r w:rsidR="0095392D" w:rsidRPr="003242E9">
        <w:rPr>
          <w:rFonts w:cs="Times New Roman"/>
          <w:sz w:val="24"/>
          <w:szCs w:val="24"/>
        </w:rPr>
        <w:t xml:space="preserve">policy </w:t>
      </w:r>
      <w:r w:rsidR="004050C9" w:rsidRPr="003242E9">
        <w:rPr>
          <w:rFonts w:cs="Times New Roman"/>
          <w:sz w:val="24"/>
          <w:szCs w:val="24"/>
        </w:rPr>
        <w:t xml:space="preserve">could no longer be assumed to be completely exogenous.  This is because once current behaviour </w:t>
      </w:r>
      <w:r w:rsidR="003C4F7B" w:rsidRPr="003242E9">
        <w:rPr>
          <w:rFonts w:cs="Times New Roman"/>
          <w:sz w:val="24"/>
          <w:szCs w:val="24"/>
        </w:rPr>
        <w:t xml:space="preserve">was </w:t>
      </w:r>
      <w:r w:rsidR="00B8205B" w:rsidRPr="003242E9">
        <w:rPr>
          <w:rFonts w:cs="Times New Roman"/>
          <w:sz w:val="24"/>
          <w:szCs w:val="24"/>
        </w:rPr>
        <w:t xml:space="preserve">allowed to be </w:t>
      </w:r>
      <w:r w:rsidR="004050C9" w:rsidRPr="003242E9">
        <w:rPr>
          <w:rFonts w:cs="Times New Roman"/>
          <w:sz w:val="24"/>
          <w:szCs w:val="24"/>
        </w:rPr>
        <w:t>influenced by future policy, as it w</w:t>
      </w:r>
      <w:r w:rsidR="003C4F7B" w:rsidRPr="003242E9">
        <w:rPr>
          <w:rFonts w:cs="Times New Roman"/>
          <w:sz w:val="24"/>
          <w:szCs w:val="24"/>
        </w:rPr>
        <w:t xml:space="preserve">ould </w:t>
      </w:r>
      <w:r w:rsidR="004050C9" w:rsidRPr="003242E9">
        <w:rPr>
          <w:rFonts w:cs="Times New Roman"/>
          <w:sz w:val="24"/>
          <w:szCs w:val="24"/>
        </w:rPr>
        <w:t>be with rational expectations, it also becomes necessary to explain how future policy w</w:t>
      </w:r>
      <w:r w:rsidR="003C4F7B" w:rsidRPr="003242E9">
        <w:rPr>
          <w:rFonts w:cs="Times New Roman"/>
          <w:sz w:val="24"/>
          <w:szCs w:val="24"/>
        </w:rPr>
        <w:t xml:space="preserve">ould </w:t>
      </w:r>
      <w:r w:rsidR="004050C9" w:rsidRPr="003242E9">
        <w:rPr>
          <w:rFonts w:cs="Times New Roman"/>
          <w:sz w:val="24"/>
          <w:szCs w:val="24"/>
        </w:rPr>
        <w:t xml:space="preserve">respond to changes in the economy that might be brought about by current changes in policy.  </w:t>
      </w:r>
      <w:r w:rsidR="0095392D" w:rsidRPr="003242E9">
        <w:rPr>
          <w:rFonts w:cs="Times New Roman"/>
          <w:sz w:val="24"/>
          <w:szCs w:val="24"/>
        </w:rPr>
        <w:t xml:space="preserve">This means that it is necessary to include feedback rules within the model that explain the reaction of governments and the monetary authorities to future developments. </w:t>
      </w:r>
    </w:p>
    <w:p w:rsidR="00E73948" w:rsidRPr="003242E9" w:rsidRDefault="003C4F7B" w:rsidP="003F7C6D">
      <w:pPr>
        <w:jc w:val="both"/>
        <w:rPr>
          <w:rFonts w:cs="Times New Roman"/>
          <w:sz w:val="24"/>
          <w:szCs w:val="24"/>
        </w:rPr>
      </w:pPr>
      <w:r w:rsidRPr="003242E9">
        <w:rPr>
          <w:rFonts w:cs="Times New Roman"/>
          <w:sz w:val="24"/>
          <w:szCs w:val="24"/>
        </w:rPr>
        <w:t>Much of the work in introducing policy rules into the Institute models was carried out in the 1990s following the UK’s exit from the European Monetary System and the adoption of an inflation target.</w:t>
      </w:r>
      <w:r w:rsidR="00213C89" w:rsidRPr="003242E9">
        <w:rPr>
          <w:rFonts w:cs="Times New Roman"/>
          <w:sz w:val="24"/>
          <w:szCs w:val="24"/>
        </w:rPr>
        <w:t xml:space="preserve">  </w:t>
      </w:r>
      <w:r w:rsidR="00DC17D8" w:rsidRPr="003242E9">
        <w:rPr>
          <w:rFonts w:cs="Times New Roman"/>
          <w:sz w:val="24"/>
          <w:szCs w:val="24"/>
        </w:rPr>
        <w:t xml:space="preserve">A good summary of this general </w:t>
      </w:r>
      <w:r w:rsidR="00213C89" w:rsidRPr="003242E9">
        <w:rPr>
          <w:rFonts w:cs="Times New Roman"/>
          <w:sz w:val="24"/>
          <w:szCs w:val="24"/>
        </w:rPr>
        <w:t xml:space="preserve">research </w:t>
      </w:r>
      <w:r w:rsidR="00DC17D8" w:rsidRPr="003242E9">
        <w:rPr>
          <w:rFonts w:cs="Times New Roman"/>
          <w:sz w:val="24"/>
          <w:szCs w:val="24"/>
        </w:rPr>
        <w:t xml:space="preserve">theme </w:t>
      </w:r>
      <w:r w:rsidR="00213C89" w:rsidRPr="003242E9">
        <w:rPr>
          <w:rFonts w:cs="Times New Roman"/>
          <w:sz w:val="24"/>
          <w:szCs w:val="24"/>
        </w:rPr>
        <w:t>is Westaway (1995).</w:t>
      </w:r>
      <w:r w:rsidR="00DC17D8" w:rsidRPr="003242E9">
        <w:rPr>
          <w:rFonts w:cs="Times New Roman"/>
          <w:sz w:val="24"/>
          <w:szCs w:val="24"/>
        </w:rPr>
        <w:t xml:space="preserve">  </w:t>
      </w:r>
    </w:p>
    <w:p w:rsidR="003242E9" w:rsidRPr="003242E9" w:rsidRDefault="0021169B" w:rsidP="003242E9">
      <w:pPr>
        <w:jc w:val="both"/>
        <w:rPr>
          <w:rFonts w:cs="Times New Roman"/>
          <w:sz w:val="24"/>
          <w:szCs w:val="24"/>
        </w:rPr>
      </w:pPr>
      <w:r>
        <w:rPr>
          <w:rFonts w:cs="Times New Roman"/>
          <w:sz w:val="24"/>
          <w:szCs w:val="24"/>
        </w:rPr>
        <w:t xml:space="preserve">Prior to the </w:t>
      </w:r>
      <w:r w:rsidR="003242E9" w:rsidRPr="003242E9">
        <w:rPr>
          <w:rFonts w:cs="Times New Roman"/>
          <w:sz w:val="24"/>
          <w:szCs w:val="24"/>
        </w:rPr>
        <w:t>early 1990s</w:t>
      </w:r>
      <w:r>
        <w:rPr>
          <w:rFonts w:cs="Times New Roman"/>
          <w:sz w:val="24"/>
          <w:szCs w:val="24"/>
        </w:rPr>
        <w:t xml:space="preserve">, a </w:t>
      </w:r>
      <w:r w:rsidR="003242E9" w:rsidRPr="003242E9">
        <w:rPr>
          <w:rFonts w:cs="Times New Roman"/>
          <w:sz w:val="24"/>
          <w:szCs w:val="24"/>
        </w:rPr>
        <w:t xml:space="preserve">whole range of intermediate </w:t>
      </w:r>
      <w:r>
        <w:rPr>
          <w:rFonts w:cs="Times New Roman"/>
          <w:sz w:val="24"/>
          <w:szCs w:val="24"/>
        </w:rPr>
        <w:t xml:space="preserve">monetary </w:t>
      </w:r>
      <w:r w:rsidR="003242E9" w:rsidRPr="003242E9">
        <w:rPr>
          <w:rFonts w:cs="Times New Roman"/>
          <w:sz w:val="24"/>
          <w:szCs w:val="24"/>
        </w:rPr>
        <w:t xml:space="preserve">targets had been adopted in the UK, and the </w:t>
      </w:r>
      <w:r>
        <w:rPr>
          <w:rFonts w:cs="Times New Roman"/>
          <w:sz w:val="24"/>
          <w:szCs w:val="24"/>
        </w:rPr>
        <w:t xml:space="preserve">Institute </w:t>
      </w:r>
      <w:r w:rsidR="003242E9" w:rsidRPr="003242E9">
        <w:rPr>
          <w:rFonts w:cs="Times New Roman"/>
          <w:sz w:val="24"/>
          <w:szCs w:val="24"/>
        </w:rPr>
        <w:t xml:space="preserve">model had been used to analyse </w:t>
      </w:r>
      <w:r>
        <w:rPr>
          <w:rFonts w:cs="Times New Roman"/>
          <w:sz w:val="24"/>
          <w:szCs w:val="24"/>
        </w:rPr>
        <w:t xml:space="preserve">different </w:t>
      </w:r>
      <w:r w:rsidR="003242E9" w:rsidRPr="003242E9">
        <w:rPr>
          <w:rFonts w:cs="Times New Roman"/>
          <w:sz w:val="24"/>
          <w:szCs w:val="24"/>
        </w:rPr>
        <w:t xml:space="preserve">scenarios with varying degrees of success. For example, keeping the exchange rate within a target band could be </w:t>
      </w:r>
      <w:r>
        <w:rPr>
          <w:rFonts w:cs="Times New Roman"/>
          <w:sz w:val="24"/>
          <w:szCs w:val="24"/>
        </w:rPr>
        <w:t xml:space="preserve">modelled </w:t>
      </w:r>
      <w:r w:rsidR="003242E9" w:rsidRPr="003242E9">
        <w:rPr>
          <w:rFonts w:cs="Times New Roman"/>
          <w:sz w:val="24"/>
          <w:szCs w:val="24"/>
        </w:rPr>
        <w:t>by an appropriate nonlinear control rule but</w:t>
      </w:r>
      <w:r>
        <w:rPr>
          <w:rFonts w:cs="Times New Roman"/>
          <w:sz w:val="24"/>
          <w:szCs w:val="24"/>
        </w:rPr>
        <w:t>,</w:t>
      </w:r>
      <w:r w:rsidR="003242E9" w:rsidRPr="003242E9">
        <w:rPr>
          <w:rFonts w:cs="Times New Roman"/>
          <w:sz w:val="24"/>
          <w:szCs w:val="24"/>
        </w:rPr>
        <w:t xml:space="preserve"> whilst feasible</w:t>
      </w:r>
      <w:r>
        <w:rPr>
          <w:rFonts w:cs="Times New Roman"/>
          <w:sz w:val="24"/>
          <w:szCs w:val="24"/>
        </w:rPr>
        <w:t>,</w:t>
      </w:r>
      <w:r w:rsidR="003242E9" w:rsidRPr="003242E9">
        <w:rPr>
          <w:rFonts w:cs="Times New Roman"/>
          <w:sz w:val="24"/>
          <w:szCs w:val="24"/>
        </w:rPr>
        <w:t xml:space="preserve"> turned out to be cumbersome and certainly fragile. The adoption of inflation targeting made the specification of a satisfactory policy easier in the sense that the final target could be achieved by an appropriately designed rule. </w:t>
      </w:r>
    </w:p>
    <w:p w:rsidR="003242E9" w:rsidRPr="00B2334B" w:rsidRDefault="003242E9" w:rsidP="003242E9">
      <w:pPr>
        <w:jc w:val="both"/>
        <w:rPr>
          <w:rFonts w:cs="Times New Roman"/>
          <w:i/>
          <w:sz w:val="24"/>
          <w:szCs w:val="24"/>
        </w:rPr>
      </w:pPr>
      <w:r w:rsidRPr="00B2334B">
        <w:rPr>
          <w:rFonts w:cs="Times New Roman"/>
          <w:i/>
          <w:sz w:val="24"/>
          <w:szCs w:val="24"/>
        </w:rPr>
        <w:t>Developing policy analysis</w:t>
      </w:r>
    </w:p>
    <w:p w:rsidR="003242E9" w:rsidRPr="003242E9" w:rsidRDefault="003242E9" w:rsidP="003242E9">
      <w:pPr>
        <w:jc w:val="both"/>
        <w:rPr>
          <w:rFonts w:cs="Times New Roman"/>
          <w:sz w:val="24"/>
          <w:szCs w:val="24"/>
        </w:rPr>
      </w:pPr>
      <w:r w:rsidRPr="003242E9">
        <w:rPr>
          <w:rFonts w:cs="Times New Roman"/>
          <w:sz w:val="24"/>
          <w:szCs w:val="24"/>
        </w:rPr>
        <w:t xml:space="preserve">In the early 1990s two </w:t>
      </w:r>
      <w:r w:rsidR="0021169B">
        <w:rPr>
          <w:rFonts w:cs="Times New Roman"/>
          <w:sz w:val="24"/>
          <w:szCs w:val="24"/>
        </w:rPr>
        <w:t xml:space="preserve">Institute </w:t>
      </w:r>
      <w:r w:rsidRPr="003242E9">
        <w:rPr>
          <w:rFonts w:cs="Times New Roman"/>
          <w:sz w:val="24"/>
          <w:szCs w:val="24"/>
        </w:rPr>
        <w:t>modellers</w:t>
      </w:r>
      <w:r w:rsidR="00B2334B">
        <w:rPr>
          <w:rFonts w:cs="Times New Roman"/>
          <w:sz w:val="24"/>
          <w:szCs w:val="24"/>
        </w:rPr>
        <w:t xml:space="preserve">, Andy Blake and Peter Westaway, </w:t>
      </w:r>
      <w:r w:rsidRPr="003242E9">
        <w:rPr>
          <w:rFonts w:cs="Times New Roman"/>
          <w:sz w:val="24"/>
          <w:szCs w:val="24"/>
        </w:rPr>
        <w:t xml:space="preserve">had been part of the ‘Stagflation Project’, a group centred on James Meade </w:t>
      </w:r>
      <w:r w:rsidR="00B2334B">
        <w:rPr>
          <w:rFonts w:cs="Times New Roman"/>
          <w:sz w:val="24"/>
          <w:szCs w:val="24"/>
        </w:rPr>
        <w:t xml:space="preserve">at Cambridge </w:t>
      </w:r>
      <w:r w:rsidRPr="003242E9">
        <w:rPr>
          <w:rFonts w:cs="Times New Roman"/>
          <w:sz w:val="24"/>
          <w:szCs w:val="24"/>
        </w:rPr>
        <w:t xml:space="preserve">who had long considered economic policy </w:t>
      </w:r>
      <w:r w:rsidR="0021169B">
        <w:rPr>
          <w:rFonts w:cs="Times New Roman"/>
          <w:sz w:val="24"/>
          <w:szCs w:val="24"/>
        </w:rPr>
        <w:t xml:space="preserve">as a </w:t>
      </w:r>
      <w:r w:rsidRPr="003242E9">
        <w:rPr>
          <w:rFonts w:cs="Times New Roman"/>
          <w:sz w:val="24"/>
          <w:szCs w:val="24"/>
        </w:rPr>
        <w:t xml:space="preserve">problem that could be addressed with the help of experts in control.  Much of that work involved formally designing policies using classical control methods – effectively what an economist would now call instrument rules – culminating in </w:t>
      </w:r>
      <w:proofErr w:type="spellStart"/>
      <w:r w:rsidRPr="003242E9">
        <w:rPr>
          <w:rFonts w:cs="Times New Roman"/>
          <w:sz w:val="24"/>
          <w:szCs w:val="24"/>
        </w:rPr>
        <w:t>Weale</w:t>
      </w:r>
      <w:proofErr w:type="spellEnd"/>
      <w:r w:rsidRPr="003242E9">
        <w:rPr>
          <w:rFonts w:cs="Times New Roman"/>
          <w:sz w:val="24"/>
          <w:szCs w:val="24"/>
        </w:rPr>
        <w:t xml:space="preserve"> et al. (1989). (Another member of that project</w:t>
      </w:r>
      <w:r w:rsidR="00B2334B">
        <w:rPr>
          <w:rFonts w:cs="Times New Roman"/>
          <w:sz w:val="24"/>
          <w:szCs w:val="24"/>
        </w:rPr>
        <w:t xml:space="preserve">, Martin </w:t>
      </w:r>
      <w:proofErr w:type="spellStart"/>
      <w:r w:rsidR="00B2334B">
        <w:rPr>
          <w:rFonts w:cs="Times New Roman"/>
          <w:sz w:val="24"/>
          <w:szCs w:val="24"/>
        </w:rPr>
        <w:t>Weale</w:t>
      </w:r>
      <w:proofErr w:type="spellEnd"/>
      <w:r w:rsidR="00B2334B">
        <w:rPr>
          <w:rFonts w:cs="Times New Roman"/>
          <w:sz w:val="24"/>
          <w:szCs w:val="24"/>
        </w:rPr>
        <w:t>,</w:t>
      </w:r>
      <w:r w:rsidRPr="003242E9">
        <w:rPr>
          <w:rFonts w:cs="Times New Roman"/>
          <w:sz w:val="24"/>
          <w:szCs w:val="24"/>
        </w:rPr>
        <w:t xml:space="preserve"> subsequently became director of </w:t>
      </w:r>
      <w:r w:rsidR="00D21F97">
        <w:rPr>
          <w:rFonts w:cs="Times New Roman"/>
          <w:sz w:val="24"/>
          <w:szCs w:val="24"/>
        </w:rPr>
        <w:t xml:space="preserve">the Institute </w:t>
      </w:r>
      <w:r w:rsidRPr="003242E9">
        <w:rPr>
          <w:rFonts w:cs="Times New Roman"/>
          <w:sz w:val="24"/>
          <w:szCs w:val="24"/>
        </w:rPr>
        <w:t>in 199</w:t>
      </w:r>
      <w:r w:rsidR="00D21F97">
        <w:rPr>
          <w:rFonts w:cs="Times New Roman"/>
          <w:sz w:val="24"/>
          <w:szCs w:val="24"/>
        </w:rPr>
        <w:t>5</w:t>
      </w:r>
      <w:r w:rsidRPr="003242E9">
        <w:rPr>
          <w:rFonts w:cs="Times New Roman"/>
          <w:sz w:val="24"/>
          <w:szCs w:val="24"/>
        </w:rPr>
        <w:t>.) A key part of such methods is using interactive design processes which meant that policy rules were evaluated with the help of model simulations under a number of different scenarios, adhering to a variety of design criteria, such as overall stability. This meant using small approximating models, obtained either as reduced versions of the larger empirical models or small open economy models that replicated the structure of larger models but were independently constructed.</w:t>
      </w:r>
    </w:p>
    <w:p w:rsidR="003242E9" w:rsidRPr="003242E9" w:rsidRDefault="003242E9" w:rsidP="003242E9">
      <w:pPr>
        <w:jc w:val="both"/>
        <w:rPr>
          <w:rFonts w:cs="Times New Roman"/>
          <w:sz w:val="24"/>
          <w:szCs w:val="24"/>
        </w:rPr>
      </w:pPr>
      <w:r w:rsidRPr="003242E9">
        <w:rPr>
          <w:rFonts w:cs="Times New Roman"/>
          <w:sz w:val="24"/>
          <w:szCs w:val="24"/>
        </w:rPr>
        <w:t xml:space="preserve">This was something rather revolutionary in its time, and the marriage of small simulation models and empirical models proved fruitful. In particular, adopting an early form of </w:t>
      </w:r>
      <w:r w:rsidR="00D21F97">
        <w:rPr>
          <w:rFonts w:cs="Times New Roman"/>
          <w:sz w:val="24"/>
          <w:szCs w:val="24"/>
        </w:rPr>
        <w:t xml:space="preserve">the </w:t>
      </w:r>
      <w:r w:rsidRPr="003242E9">
        <w:rPr>
          <w:rFonts w:cs="Times New Roman"/>
          <w:sz w:val="24"/>
          <w:szCs w:val="24"/>
        </w:rPr>
        <w:t>four</w:t>
      </w:r>
      <w:r w:rsidR="00D21F97">
        <w:rPr>
          <w:rFonts w:cs="Times New Roman"/>
          <w:sz w:val="24"/>
          <w:szCs w:val="24"/>
        </w:rPr>
        <w:t>-</w:t>
      </w:r>
      <w:r w:rsidRPr="003242E9">
        <w:rPr>
          <w:rFonts w:cs="Times New Roman"/>
          <w:sz w:val="24"/>
          <w:szCs w:val="24"/>
        </w:rPr>
        <w:t>equation macro</w:t>
      </w:r>
      <w:r w:rsidR="00D21F97">
        <w:rPr>
          <w:rFonts w:cs="Times New Roman"/>
          <w:sz w:val="24"/>
          <w:szCs w:val="24"/>
        </w:rPr>
        <w:t xml:space="preserve">economic model </w:t>
      </w:r>
      <w:r w:rsidRPr="003242E9">
        <w:rPr>
          <w:rFonts w:cs="Times New Roman"/>
          <w:sz w:val="24"/>
          <w:szCs w:val="24"/>
        </w:rPr>
        <w:t xml:space="preserve">based on the Fuhrer and Moore (1995) specification of the Phillips’ Curve produced the insight that small simulation models could effectively capture the salient features of larger empirical ones. There was an important caveat to this: small and large models behaved in qualitatively similar ways once model inadequacies had been corrected. Policy experiments on small simulation models – models strikingly similar in their responses to a contemporary DSGE model despite essentially being constructed as small versions of the </w:t>
      </w:r>
      <w:r w:rsidR="00D21F97">
        <w:rPr>
          <w:rFonts w:cs="Times New Roman"/>
          <w:sz w:val="24"/>
          <w:szCs w:val="24"/>
        </w:rPr>
        <w:t xml:space="preserve">Institute </w:t>
      </w:r>
      <w:r w:rsidRPr="003242E9">
        <w:rPr>
          <w:rFonts w:cs="Times New Roman"/>
          <w:sz w:val="24"/>
          <w:szCs w:val="24"/>
        </w:rPr>
        <w:t xml:space="preserve">model – when replicated on the </w:t>
      </w:r>
      <w:r w:rsidR="00D21F97">
        <w:rPr>
          <w:rFonts w:cs="Times New Roman"/>
          <w:sz w:val="24"/>
          <w:szCs w:val="24"/>
        </w:rPr>
        <w:t xml:space="preserve">Institute </w:t>
      </w:r>
      <w:r w:rsidRPr="003242E9">
        <w:rPr>
          <w:rFonts w:cs="Times New Roman"/>
          <w:sz w:val="24"/>
          <w:szCs w:val="24"/>
        </w:rPr>
        <w:t xml:space="preserve">model revealed inadequacies that the forecasting process under different policy regimes had not. </w:t>
      </w:r>
    </w:p>
    <w:p w:rsidR="003242E9" w:rsidRPr="003242E9" w:rsidRDefault="003242E9" w:rsidP="003242E9">
      <w:pPr>
        <w:jc w:val="both"/>
        <w:rPr>
          <w:rFonts w:cs="Times New Roman"/>
          <w:sz w:val="24"/>
          <w:szCs w:val="24"/>
        </w:rPr>
      </w:pPr>
      <w:r w:rsidRPr="003242E9">
        <w:rPr>
          <w:rFonts w:cs="Times New Roman"/>
          <w:sz w:val="24"/>
          <w:szCs w:val="24"/>
        </w:rPr>
        <w:lastRenderedPageBreak/>
        <w:t xml:space="preserve">For example, when the small model with an appropriate interest rate feedback rule was subjected to an inflation target shock such that the desired inflation rate was lowered, the inflation rate converged quickly to the new target rate. When the same rule was applied to the </w:t>
      </w:r>
      <w:r w:rsidR="00D21F97">
        <w:rPr>
          <w:rFonts w:cs="Times New Roman"/>
          <w:sz w:val="24"/>
          <w:szCs w:val="24"/>
        </w:rPr>
        <w:t xml:space="preserve">large </w:t>
      </w:r>
      <w:r w:rsidRPr="003242E9">
        <w:rPr>
          <w:rFonts w:cs="Times New Roman"/>
          <w:sz w:val="24"/>
          <w:szCs w:val="24"/>
        </w:rPr>
        <w:t xml:space="preserve">empirical model, the inflation rate failed to reach the target and often displayed small but significant offsets. The problem was that some parts of the </w:t>
      </w:r>
      <w:r w:rsidR="00D21F97">
        <w:rPr>
          <w:rFonts w:cs="Times New Roman"/>
          <w:sz w:val="24"/>
          <w:szCs w:val="24"/>
        </w:rPr>
        <w:t xml:space="preserve">empirical </w:t>
      </w:r>
      <w:r w:rsidRPr="003242E9">
        <w:rPr>
          <w:rFonts w:cs="Times New Roman"/>
          <w:sz w:val="24"/>
          <w:szCs w:val="24"/>
        </w:rPr>
        <w:t xml:space="preserve">model implied that a doubling of all prices wouldn’t leave the </w:t>
      </w:r>
      <w:r w:rsidR="00D21F97">
        <w:rPr>
          <w:rFonts w:cs="Times New Roman"/>
          <w:sz w:val="24"/>
          <w:szCs w:val="24"/>
        </w:rPr>
        <w:t xml:space="preserve">real </w:t>
      </w:r>
      <w:r w:rsidRPr="003242E9">
        <w:rPr>
          <w:rFonts w:cs="Times New Roman"/>
          <w:sz w:val="24"/>
          <w:szCs w:val="24"/>
        </w:rPr>
        <w:t xml:space="preserve">equilibrium unchanged – </w:t>
      </w:r>
      <w:r w:rsidR="00D21F97">
        <w:rPr>
          <w:rFonts w:cs="Times New Roman"/>
          <w:sz w:val="24"/>
          <w:szCs w:val="24"/>
        </w:rPr>
        <w:t xml:space="preserve">static </w:t>
      </w:r>
      <w:r w:rsidRPr="003242E9">
        <w:rPr>
          <w:rFonts w:cs="Times New Roman"/>
          <w:sz w:val="24"/>
          <w:szCs w:val="24"/>
        </w:rPr>
        <w:t xml:space="preserve">price homogeneity failed to hold. In </w:t>
      </w:r>
      <w:r w:rsidR="00D21F97">
        <w:rPr>
          <w:rFonts w:cs="Times New Roman"/>
          <w:sz w:val="24"/>
          <w:szCs w:val="24"/>
        </w:rPr>
        <w:t xml:space="preserve">other simulations </w:t>
      </w:r>
      <w:r w:rsidRPr="003242E9">
        <w:rPr>
          <w:rFonts w:cs="Times New Roman"/>
          <w:sz w:val="24"/>
          <w:szCs w:val="24"/>
        </w:rPr>
        <w:t>this did hold but a doubling of all inflation rates affected the real equilibrium</w:t>
      </w:r>
      <w:r w:rsidR="00D21F97">
        <w:rPr>
          <w:rFonts w:cs="Times New Roman"/>
          <w:sz w:val="24"/>
          <w:szCs w:val="24"/>
        </w:rPr>
        <w:t xml:space="preserve"> – dynamic price homogeneity failed to hold</w:t>
      </w:r>
      <w:r w:rsidRPr="003242E9">
        <w:rPr>
          <w:rFonts w:cs="Times New Roman"/>
          <w:sz w:val="24"/>
          <w:szCs w:val="24"/>
        </w:rPr>
        <w:t xml:space="preserve">. Once both of these features </w:t>
      </w:r>
      <w:r w:rsidR="00D21F97">
        <w:rPr>
          <w:rFonts w:cs="Times New Roman"/>
          <w:sz w:val="24"/>
          <w:szCs w:val="24"/>
        </w:rPr>
        <w:t xml:space="preserve">were </w:t>
      </w:r>
      <w:r w:rsidRPr="003242E9">
        <w:rPr>
          <w:rFonts w:cs="Times New Roman"/>
          <w:sz w:val="24"/>
          <w:szCs w:val="24"/>
        </w:rPr>
        <w:t xml:space="preserve">corrected, policy experiments and impulse responses </w:t>
      </w:r>
      <w:r w:rsidR="00D21F97">
        <w:rPr>
          <w:rFonts w:cs="Times New Roman"/>
          <w:sz w:val="24"/>
          <w:szCs w:val="24"/>
        </w:rPr>
        <w:t xml:space="preserve">on the large empirical model </w:t>
      </w:r>
      <w:r w:rsidRPr="003242E9">
        <w:rPr>
          <w:rFonts w:cs="Times New Roman"/>
          <w:sz w:val="24"/>
          <w:szCs w:val="24"/>
        </w:rPr>
        <w:t xml:space="preserve">replicated those of the small model. Thus long-run monetary neutrality </w:t>
      </w:r>
      <w:r w:rsidR="00D21F97">
        <w:rPr>
          <w:rFonts w:cs="Times New Roman"/>
          <w:sz w:val="24"/>
          <w:szCs w:val="24"/>
        </w:rPr>
        <w:t xml:space="preserve">could be </w:t>
      </w:r>
      <w:r w:rsidRPr="003242E9">
        <w:rPr>
          <w:rFonts w:cs="Times New Roman"/>
          <w:sz w:val="24"/>
          <w:szCs w:val="24"/>
        </w:rPr>
        <w:t>imposed on the model w</w:t>
      </w:r>
      <w:r w:rsidR="00D21F97">
        <w:rPr>
          <w:rFonts w:cs="Times New Roman"/>
          <w:sz w:val="24"/>
          <w:szCs w:val="24"/>
        </w:rPr>
        <w:t xml:space="preserve">ith </w:t>
      </w:r>
      <w:r w:rsidRPr="003242E9">
        <w:rPr>
          <w:rFonts w:cs="Times New Roman"/>
          <w:sz w:val="24"/>
          <w:szCs w:val="24"/>
        </w:rPr>
        <w:t xml:space="preserve">only moderate and wholly data-acceptable tweaking of the parameters.  </w:t>
      </w:r>
      <w:proofErr w:type="gramStart"/>
      <w:r w:rsidRPr="003242E9">
        <w:rPr>
          <w:rFonts w:cs="Times New Roman"/>
          <w:sz w:val="24"/>
          <w:szCs w:val="24"/>
        </w:rPr>
        <w:t>Thus</w:t>
      </w:r>
      <w:proofErr w:type="gramEnd"/>
      <w:r w:rsidRPr="003242E9">
        <w:rPr>
          <w:rFonts w:cs="Times New Roman"/>
          <w:sz w:val="24"/>
          <w:szCs w:val="24"/>
        </w:rPr>
        <w:t xml:space="preserve"> the model embodied long-run properties that the New Classical literature had established as economically justified, whilst at the same time incorporating empirically-driven frictions that motivated short-run stabilisation. This </w:t>
      </w:r>
      <w:r w:rsidR="00D21F97">
        <w:rPr>
          <w:rFonts w:cs="Times New Roman"/>
          <w:sz w:val="24"/>
          <w:szCs w:val="24"/>
        </w:rPr>
        <w:t xml:space="preserve">was </w:t>
      </w:r>
      <w:r w:rsidRPr="003242E9">
        <w:rPr>
          <w:rFonts w:cs="Times New Roman"/>
          <w:sz w:val="24"/>
          <w:szCs w:val="24"/>
        </w:rPr>
        <w:t xml:space="preserve">something of a departure from previous generations of Keynesian models, and whilst reflecting </w:t>
      </w:r>
      <w:r w:rsidR="00D21F97">
        <w:rPr>
          <w:rFonts w:cs="Times New Roman"/>
          <w:sz w:val="24"/>
          <w:szCs w:val="24"/>
        </w:rPr>
        <w:t xml:space="preserve">mainly </w:t>
      </w:r>
      <w:r w:rsidRPr="003242E9">
        <w:rPr>
          <w:rFonts w:cs="Times New Roman"/>
          <w:sz w:val="24"/>
          <w:szCs w:val="24"/>
        </w:rPr>
        <w:t xml:space="preserve">developments by modelling practitioners around the world, at </w:t>
      </w:r>
      <w:r w:rsidR="00D21F97">
        <w:rPr>
          <w:rFonts w:cs="Times New Roman"/>
          <w:sz w:val="24"/>
          <w:szCs w:val="24"/>
        </w:rPr>
        <w:t xml:space="preserve">the Institute </w:t>
      </w:r>
      <w:r w:rsidRPr="003242E9">
        <w:rPr>
          <w:rFonts w:cs="Times New Roman"/>
          <w:sz w:val="24"/>
          <w:szCs w:val="24"/>
        </w:rPr>
        <w:t xml:space="preserve">this was specifically driven by the new monetary policy arrangements in the UK. </w:t>
      </w:r>
    </w:p>
    <w:p w:rsidR="003242E9" w:rsidRDefault="003242E9" w:rsidP="003242E9">
      <w:pPr>
        <w:jc w:val="both"/>
        <w:rPr>
          <w:rFonts w:cs="Times New Roman"/>
          <w:sz w:val="24"/>
          <w:szCs w:val="24"/>
        </w:rPr>
      </w:pPr>
      <w:r w:rsidRPr="003242E9">
        <w:rPr>
          <w:rFonts w:cs="Times New Roman"/>
          <w:sz w:val="24"/>
          <w:szCs w:val="24"/>
        </w:rPr>
        <w:t xml:space="preserve">Against this background, </w:t>
      </w:r>
      <w:r w:rsidR="00D21F97">
        <w:rPr>
          <w:rFonts w:cs="Times New Roman"/>
          <w:sz w:val="24"/>
          <w:szCs w:val="24"/>
        </w:rPr>
        <w:t xml:space="preserve">the Institute </w:t>
      </w:r>
      <w:r w:rsidRPr="003242E9">
        <w:rPr>
          <w:rFonts w:cs="Times New Roman"/>
          <w:sz w:val="24"/>
          <w:szCs w:val="24"/>
        </w:rPr>
        <w:t xml:space="preserve">was uniquely placed to contribute to the inflation targeting literature of the time, with exhaustive experiments detailed in Blake and Westaway (1994). The </w:t>
      </w:r>
      <w:r w:rsidR="00D21F97">
        <w:rPr>
          <w:rFonts w:cs="Times New Roman"/>
          <w:sz w:val="24"/>
          <w:szCs w:val="24"/>
        </w:rPr>
        <w:t xml:space="preserve">Cambridge </w:t>
      </w:r>
      <w:r w:rsidRPr="003242E9">
        <w:rPr>
          <w:rFonts w:cs="Times New Roman"/>
          <w:sz w:val="24"/>
          <w:szCs w:val="24"/>
        </w:rPr>
        <w:t xml:space="preserve">Stagflation project </w:t>
      </w:r>
      <w:r w:rsidR="00D21F97">
        <w:rPr>
          <w:rFonts w:cs="Times New Roman"/>
          <w:sz w:val="24"/>
          <w:szCs w:val="24"/>
        </w:rPr>
        <w:t xml:space="preserve">had </w:t>
      </w:r>
      <w:r w:rsidRPr="003242E9">
        <w:rPr>
          <w:rFonts w:cs="Times New Roman"/>
          <w:sz w:val="24"/>
          <w:szCs w:val="24"/>
        </w:rPr>
        <w:t>imbued it</w:t>
      </w:r>
      <w:r w:rsidR="00D21F97">
        <w:rPr>
          <w:rFonts w:cs="Times New Roman"/>
          <w:sz w:val="24"/>
          <w:szCs w:val="24"/>
        </w:rPr>
        <w:t>s</w:t>
      </w:r>
      <w:r w:rsidRPr="003242E9">
        <w:rPr>
          <w:rFonts w:cs="Times New Roman"/>
          <w:sz w:val="24"/>
          <w:szCs w:val="24"/>
        </w:rPr>
        <w:t xml:space="preserve"> members </w:t>
      </w:r>
      <w:r w:rsidR="00D21F97">
        <w:rPr>
          <w:rFonts w:cs="Times New Roman"/>
          <w:sz w:val="24"/>
          <w:szCs w:val="24"/>
        </w:rPr>
        <w:t xml:space="preserve">of </w:t>
      </w:r>
      <w:r w:rsidRPr="003242E9">
        <w:rPr>
          <w:rFonts w:cs="Times New Roman"/>
          <w:sz w:val="24"/>
          <w:szCs w:val="24"/>
        </w:rPr>
        <w:t xml:space="preserve">the need for ‘integral control’, which involved keeping at least half an eye of the price level as much as the inflation rate. This argument was at least temporarily lost after about 2000 when the Taylor rule (Taylor, 1993) became the ubiquitous interest rate rule of choice, and perhaps for good reason. Such a rule works surprisingly well in normal times, times that the </w:t>
      </w:r>
      <w:r w:rsidR="00D21F97">
        <w:rPr>
          <w:rFonts w:cs="Times New Roman"/>
          <w:sz w:val="24"/>
          <w:szCs w:val="24"/>
        </w:rPr>
        <w:t xml:space="preserve">Institute </w:t>
      </w:r>
      <w:r w:rsidRPr="003242E9">
        <w:rPr>
          <w:rFonts w:cs="Times New Roman"/>
          <w:sz w:val="24"/>
          <w:szCs w:val="24"/>
        </w:rPr>
        <w:t xml:space="preserve">modellers knew would be transient. One possible characterisation of the difference between the </w:t>
      </w:r>
      <w:r w:rsidR="00D21F97">
        <w:rPr>
          <w:rFonts w:cs="Times New Roman"/>
          <w:sz w:val="24"/>
          <w:szCs w:val="24"/>
        </w:rPr>
        <w:t xml:space="preserve">Institute </w:t>
      </w:r>
      <w:r w:rsidRPr="003242E9">
        <w:rPr>
          <w:rFonts w:cs="Times New Roman"/>
          <w:sz w:val="24"/>
          <w:szCs w:val="24"/>
        </w:rPr>
        <w:t>approach to policy developed at this time and, say, Taylor rule advocates was a concern for a rule design that worked in the widest possible circumstances rather than the policy with the highest empirical support. Whilst the model was a necessarily imperfect description of the empirical experience, policy rules were treated as an entirely normative exercise.</w:t>
      </w:r>
    </w:p>
    <w:p w:rsidR="003242E9" w:rsidRPr="003242E9" w:rsidRDefault="009F6E8A" w:rsidP="003242E9">
      <w:pPr>
        <w:jc w:val="both"/>
        <w:rPr>
          <w:rFonts w:cs="Times New Roman"/>
          <w:sz w:val="24"/>
          <w:szCs w:val="24"/>
        </w:rPr>
      </w:pPr>
      <w:r>
        <w:rPr>
          <w:rFonts w:cs="Times New Roman"/>
          <w:sz w:val="24"/>
          <w:szCs w:val="24"/>
        </w:rPr>
        <w:t xml:space="preserve">A major policy-related strand of work </w:t>
      </w:r>
      <w:r w:rsidR="003242E9" w:rsidRPr="003242E9">
        <w:rPr>
          <w:rFonts w:cs="Times New Roman"/>
          <w:sz w:val="24"/>
          <w:szCs w:val="24"/>
        </w:rPr>
        <w:t>was the investigation of the aforementioned inflation targeting framework. Recall the ‘inflation target’ shock, where the policymaker announces a lower (or these days perhaps higher) target value. The astounding (and what would now be called neo-</w:t>
      </w:r>
      <w:proofErr w:type="spellStart"/>
      <w:r w:rsidR="003242E9" w:rsidRPr="003242E9">
        <w:rPr>
          <w:rFonts w:cs="Times New Roman"/>
          <w:sz w:val="24"/>
          <w:szCs w:val="24"/>
        </w:rPr>
        <w:t>Fisher</w:t>
      </w:r>
      <w:r>
        <w:rPr>
          <w:rFonts w:cs="Times New Roman"/>
          <w:sz w:val="24"/>
          <w:szCs w:val="24"/>
        </w:rPr>
        <w:t>i</w:t>
      </w:r>
      <w:r w:rsidR="003242E9" w:rsidRPr="003242E9">
        <w:rPr>
          <w:rFonts w:cs="Times New Roman"/>
          <w:sz w:val="24"/>
          <w:szCs w:val="24"/>
        </w:rPr>
        <w:t>an</w:t>
      </w:r>
      <w:proofErr w:type="spellEnd"/>
      <w:r w:rsidR="003242E9" w:rsidRPr="003242E9">
        <w:rPr>
          <w:rFonts w:cs="Times New Roman"/>
          <w:sz w:val="24"/>
          <w:szCs w:val="24"/>
        </w:rPr>
        <w:t xml:space="preserve">) result was that the announcement of a lower </w:t>
      </w:r>
      <w:r w:rsidR="00D21F97">
        <w:rPr>
          <w:rFonts w:cs="Times New Roman"/>
          <w:sz w:val="24"/>
          <w:szCs w:val="24"/>
        </w:rPr>
        <w:t xml:space="preserve">inflation </w:t>
      </w:r>
      <w:r w:rsidR="003242E9" w:rsidRPr="003242E9">
        <w:rPr>
          <w:rFonts w:cs="Times New Roman"/>
          <w:sz w:val="24"/>
          <w:szCs w:val="24"/>
        </w:rPr>
        <w:t xml:space="preserve">target with an effectively designed policy rule meant an instantaneously lower </w:t>
      </w:r>
      <w:r w:rsidR="00D21F97">
        <w:rPr>
          <w:rFonts w:cs="Times New Roman"/>
          <w:sz w:val="24"/>
          <w:szCs w:val="24"/>
        </w:rPr>
        <w:t xml:space="preserve">nominal </w:t>
      </w:r>
      <w:r w:rsidR="003242E9" w:rsidRPr="003242E9">
        <w:rPr>
          <w:rFonts w:cs="Times New Roman"/>
          <w:sz w:val="24"/>
          <w:szCs w:val="24"/>
        </w:rPr>
        <w:t xml:space="preserve">interest rate. Blake and Westaway (1996) argued in keeping with Hall’s pioneering work that price-setters would need to learn that the policy maker was indeed committed to the new target, and would therefore need to show commitment and gain credibility. This revealed an equilibrium where a need to demonstrate commitment yielded at least a modest tightening in policy in a small simulation mode, and it turned out that the </w:t>
      </w:r>
      <w:r w:rsidR="00D21F97">
        <w:rPr>
          <w:rFonts w:cs="Times New Roman"/>
          <w:sz w:val="24"/>
          <w:szCs w:val="24"/>
        </w:rPr>
        <w:t xml:space="preserve">large </w:t>
      </w:r>
      <w:r w:rsidR="003242E9" w:rsidRPr="003242E9">
        <w:rPr>
          <w:rFonts w:cs="Times New Roman"/>
          <w:sz w:val="24"/>
          <w:szCs w:val="24"/>
        </w:rPr>
        <w:t xml:space="preserve">empirical model mimicked the result. </w:t>
      </w:r>
    </w:p>
    <w:p w:rsidR="00D21F97" w:rsidRDefault="00D21F97" w:rsidP="00D21F97">
      <w:pPr>
        <w:jc w:val="both"/>
        <w:rPr>
          <w:rFonts w:cs="Times New Roman"/>
          <w:sz w:val="24"/>
          <w:szCs w:val="24"/>
        </w:rPr>
      </w:pPr>
      <w:r>
        <w:rPr>
          <w:rFonts w:cs="Times New Roman"/>
          <w:sz w:val="24"/>
          <w:szCs w:val="24"/>
        </w:rPr>
        <w:lastRenderedPageBreak/>
        <w:t xml:space="preserve">In a similar vein, </w:t>
      </w:r>
      <w:r w:rsidRPr="003242E9">
        <w:rPr>
          <w:rFonts w:cs="Times New Roman"/>
          <w:sz w:val="24"/>
          <w:szCs w:val="24"/>
        </w:rPr>
        <w:t xml:space="preserve">Pain, </w:t>
      </w:r>
      <w:proofErr w:type="spellStart"/>
      <w:r w:rsidRPr="003242E9">
        <w:rPr>
          <w:rFonts w:cs="Times New Roman"/>
          <w:sz w:val="24"/>
          <w:szCs w:val="24"/>
        </w:rPr>
        <w:t>Weale</w:t>
      </w:r>
      <w:proofErr w:type="spellEnd"/>
      <w:r w:rsidRPr="003242E9">
        <w:rPr>
          <w:rFonts w:cs="Times New Roman"/>
          <w:sz w:val="24"/>
          <w:szCs w:val="24"/>
        </w:rPr>
        <w:t xml:space="preserve"> and Young (1997) estimated feedback rules for UK government spending</w:t>
      </w:r>
      <w:r w:rsidR="001D26FA">
        <w:rPr>
          <w:rFonts w:cs="Times New Roman"/>
          <w:sz w:val="24"/>
          <w:szCs w:val="24"/>
        </w:rPr>
        <w:t xml:space="preserve"> that have continued to be used as an important part of the Institute’s analysis of fiscal policy.</w:t>
      </w:r>
    </w:p>
    <w:p w:rsidR="00E73948" w:rsidRPr="003242E9" w:rsidRDefault="00154353" w:rsidP="003F7C6D">
      <w:pPr>
        <w:jc w:val="both"/>
        <w:rPr>
          <w:rFonts w:cs="Times New Roman"/>
          <w:sz w:val="24"/>
          <w:szCs w:val="24"/>
        </w:rPr>
      </w:pPr>
      <w:r w:rsidRPr="003242E9">
        <w:rPr>
          <w:rFonts w:cs="Times New Roman"/>
          <w:sz w:val="24"/>
          <w:szCs w:val="24"/>
        </w:rPr>
        <w:t>A wide variety of p</w:t>
      </w:r>
      <w:r w:rsidR="00E73948" w:rsidRPr="003242E9">
        <w:rPr>
          <w:rFonts w:cs="Times New Roman"/>
          <w:sz w:val="24"/>
          <w:szCs w:val="24"/>
        </w:rPr>
        <w:t xml:space="preserve">olicy rules </w:t>
      </w:r>
      <w:r w:rsidRPr="003242E9">
        <w:rPr>
          <w:rFonts w:cs="Times New Roman"/>
          <w:sz w:val="24"/>
          <w:szCs w:val="24"/>
        </w:rPr>
        <w:t xml:space="preserve">have been </w:t>
      </w:r>
      <w:r w:rsidR="00E73948" w:rsidRPr="003242E9">
        <w:rPr>
          <w:rFonts w:cs="Times New Roman"/>
          <w:sz w:val="24"/>
          <w:szCs w:val="24"/>
        </w:rPr>
        <w:t xml:space="preserve">implemented on </w:t>
      </w:r>
      <w:proofErr w:type="spellStart"/>
      <w:r w:rsidR="00E73948" w:rsidRPr="003242E9">
        <w:rPr>
          <w:rFonts w:cs="Times New Roman"/>
          <w:sz w:val="24"/>
          <w:szCs w:val="24"/>
        </w:rPr>
        <w:t>NiGEM</w:t>
      </w:r>
      <w:proofErr w:type="spellEnd"/>
      <w:r w:rsidR="00C131FB">
        <w:rPr>
          <w:rFonts w:cs="Times New Roman"/>
          <w:sz w:val="24"/>
          <w:szCs w:val="24"/>
        </w:rPr>
        <w:t xml:space="preserve"> and numerous variants are available </w:t>
      </w:r>
      <w:r w:rsidR="00E73948" w:rsidRPr="003242E9">
        <w:rPr>
          <w:rFonts w:cs="Times New Roman"/>
          <w:sz w:val="24"/>
          <w:szCs w:val="24"/>
        </w:rPr>
        <w:t>for policy makers and private</w:t>
      </w:r>
      <w:r w:rsidR="00C131FB">
        <w:rPr>
          <w:rFonts w:cs="Times New Roman"/>
          <w:sz w:val="24"/>
          <w:szCs w:val="24"/>
        </w:rPr>
        <w:t>-</w:t>
      </w:r>
      <w:r w:rsidR="00E73948" w:rsidRPr="003242E9">
        <w:rPr>
          <w:rFonts w:cs="Times New Roman"/>
          <w:sz w:val="24"/>
          <w:szCs w:val="24"/>
        </w:rPr>
        <w:t>sector users</w:t>
      </w:r>
      <w:r w:rsidRPr="003242E9">
        <w:rPr>
          <w:rFonts w:cs="Times New Roman"/>
          <w:sz w:val="24"/>
          <w:szCs w:val="24"/>
        </w:rPr>
        <w:t xml:space="preserve"> who may wish to design their own interest rate feedbacks, fiscal policy rules and exchange rate arrangements in or</w:t>
      </w:r>
      <w:r w:rsidR="00184F52" w:rsidRPr="003242E9">
        <w:rPr>
          <w:rFonts w:cs="Times New Roman"/>
          <w:sz w:val="24"/>
          <w:szCs w:val="24"/>
        </w:rPr>
        <w:t>d</w:t>
      </w:r>
      <w:r w:rsidRPr="003242E9">
        <w:rPr>
          <w:rFonts w:cs="Times New Roman"/>
          <w:sz w:val="24"/>
          <w:szCs w:val="24"/>
        </w:rPr>
        <w:t xml:space="preserve">er to </w:t>
      </w:r>
      <w:r w:rsidR="00184F52" w:rsidRPr="003242E9">
        <w:rPr>
          <w:rFonts w:cs="Times New Roman"/>
          <w:sz w:val="24"/>
          <w:szCs w:val="24"/>
        </w:rPr>
        <w:t xml:space="preserve">analyse </w:t>
      </w:r>
      <w:r w:rsidR="00C131FB">
        <w:rPr>
          <w:rFonts w:cs="Times New Roman"/>
          <w:sz w:val="24"/>
          <w:szCs w:val="24"/>
        </w:rPr>
        <w:t>the influence of different policy frameworks.</w:t>
      </w:r>
      <w:r w:rsidR="00184F52" w:rsidRPr="003242E9">
        <w:rPr>
          <w:rStyle w:val="FootnoteReference"/>
          <w:rFonts w:cs="Times New Roman"/>
          <w:sz w:val="24"/>
          <w:szCs w:val="24"/>
        </w:rPr>
        <w:footnoteReference w:id="6"/>
      </w:r>
      <w:r w:rsidR="00E73948" w:rsidRPr="003242E9">
        <w:rPr>
          <w:rFonts w:cs="Times New Roman"/>
          <w:sz w:val="24"/>
          <w:szCs w:val="24"/>
        </w:rPr>
        <w:t xml:space="preserve"> The early versions </w:t>
      </w:r>
      <w:r w:rsidR="0063235F" w:rsidRPr="003242E9">
        <w:rPr>
          <w:rFonts w:cs="Times New Roman"/>
          <w:sz w:val="24"/>
          <w:szCs w:val="24"/>
        </w:rPr>
        <w:t xml:space="preserve">of monetary policy rules </w:t>
      </w:r>
      <w:r w:rsidR="00E73948" w:rsidRPr="003242E9">
        <w:rPr>
          <w:rFonts w:cs="Times New Roman"/>
          <w:sz w:val="24"/>
          <w:szCs w:val="24"/>
        </w:rPr>
        <w:t xml:space="preserve">were simple Taylor rules and nominal GDP targeting, as is described </w:t>
      </w:r>
      <w:r w:rsidR="0063235F" w:rsidRPr="003242E9">
        <w:rPr>
          <w:rFonts w:cs="Times New Roman"/>
          <w:sz w:val="24"/>
          <w:szCs w:val="24"/>
        </w:rPr>
        <w:t>i</w:t>
      </w:r>
      <w:r w:rsidR="00E73948" w:rsidRPr="003242E9">
        <w:rPr>
          <w:rFonts w:cs="Times New Roman"/>
          <w:sz w:val="24"/>
          <w:szCs w:val="24"/>
        </w:rPr>
        <w:t xml:space="preserve">n Barrell, </w:t>
      </w:r>
      <w:proofErr w:type="spellStart"/>
      <w:r w:rsidR="00E73948" w:rsidRPr="003242E9">
        <w:rPr>
          <w:rFonts w:cs="Times New Roman"/>
          <w:sz w:val="24"/>
          <w:szCs w:val="24"/>
        </w:rPr>
        <w:t>Dury</w:t>
      </w:r>
      <w:proofErr w:type="spellEnd"/>
      <w:r w:rsidR="00E73948" w:rsidRPr="003242E9">
        <w:rPr>
          <w:rFonts w:cs="Times New Roman"/>
          <w:sz w:val="24"/>
          <w:szCs w:val="24"/>
        </w:rPr>
        <w:t xml:space="preserve"> and Hurst (2003) and Barrell et al (2004). The latter paper built on the work of Barrell and Sefton (1997) which discussed fiscal solvency and the debt stock. The model incorporated various solvency feedback rules for taxes from the early 1990s. In the 1980s many models were not stock</w:t>
      </w:r>
      <w:r w:rsidR="00C131FB">
        <w:rPr>
          <w:rFonts w:cs="Times New Roman"/>
          <w:sz w:val="24"/>
          <w:szCs w:val="24"/>
        </w:rPr>
        <w:t>-</w:t>
      </w:r>
      <w:r w:rsidR="00E73948" w:rsidRPr="003242E9">
        <w:rPr>
          <w:rFonts w:cs="Times New Roman"/>
          <w:sz w:val="24"/>
          <w:szCs w:val="24"/>
        </w:rPr>
        <w:t>flow consistent and lacked a full description of how government deficits accumulated on to the debt stock, how the current account cumulated on to the foreign asset stock and also how saving and investment affected personal wealth and the capital stock. This stock</w:t>
      </w:r>
      <w:r w:rsidR="00C131FB">
        <w:rPr>
          <w:rFonts w:cs="Times New Roman"/>
          <w:sz w:val="24"/>
          <w:szCs w:val="24"/>
        </w:rPr>
        <w:t>-</w:t>
      </w:r>
      <w:r w:rsidR="00E73948" w:rsidRPr="003242E9">
        <w:rPr>
          <w:rFonts w:cs="Times New Roman"/>
          <w:sz w:val="24"/>
          <w:szCs w:val="24"/>
        </w:rPr>
        <w:t xml:space="preserve">flow consistency with forward looking expectations is essential for the analysis of polices such as the evaluation of post crisis reductions in VAT undertaken by Barrell and </w:t>
      </w:r>
      <w:proofErr w:type="spellStart"/>
      <w:r w:rsidR="00E73948" w:rsidRPr="003242E9">
        <w:rPr>
          <w:rFonts w:cs="Times New Roman"/>
          <w:sz w:val="24"/>
          <w:szCs w:val="24"/>
        </w:rPr>
        <w:t>Weale</w:t>
      </w:r>
      <w:proofErr w:type="spellEnd"/>
      <w:r w:rsidR="00E73948" w:rsidRPr="003242E9">
        <w:rPr>
          <w:rFonts w:cs="Times New Roman"/>
          <w:sz w:val="24"/>
          <w:szCs w:val="24"/>
        </w:rPr>
        <w:t xml:space="preserve"> (2009)</w:t>
      </w:r>
    </w:p>
    <w:p w:rsidR="001C4421" w:rsidRPr="003242E9" w:rsidRDefault="005552E9" w:rsidP="003F7C6D">
      <w:pPr>
        <w:jc w:val="both"/>
        <w:rPr>
          <w:rFonts w:cs="Times New Roman"/>
          <w:i/>
          <w:sz w:val="24"/>
          <w:szCs w:val="24"/>
        </w:rPr>
      </w:pPr>
      <w:r w:rsidRPr="003242E9">
        <w:rPr>
          <w:rFonts w:cs="Times New Roman"/>
          <w:i/>
          <w:sz w:val="24"/>
          <w:szCs w:val="24"/>
        </w:rPr>
        <w:t xml:space="preserve">Brexit </w:t>
      </w:r>
    </w:p>
    <w:p w:rsidR="009A1C5B" w:rsidRPr="003242E9" w:rsidRDefault="005552E9" w:rsidP="003F7C6D">
      <w:pPr>
        <w:jc w:val="both"/>
        <w:rPr>
          <w:rFonts w:cs="Times New Roman"/>
          <w:sz w:val="24"/>
          <w:szCs w:val="24"/>
        </w:rPr>
      </w:pPr>
      <w:r w:rsidRPr="003242E9">
        <w:rPr>
          <w:rFonts w:cs="Times New Roman"/>
          <w:sz w:val="24"/>
          <w:szCs w:val="24"/>
        </w:rPr>
        <w:t xml:space="preserve">In addition to monetary and fiscal policy, the Institute models have been used to quantify the macroeconomic effect of a range of other policies.  </w:t>
      </w:r>
      <w:r w:rsidR="00C131FB">
        <w:rPr>
          <w:rFonts w:cs="Times New Roman"/>
          <w:sz w:val="24"/>
          <w:szCs w:val="24"/>
        </w:rPr>
        <w:t>As an example, i</w:t>
      </w:r>
      <w:r w:rsidRPr="003242E9">
        <w:rPr>
          <w:rFonts w:cs="Times New Roman"/>
          <w:sz w:val="24"/>
          <w:szCs w:val="24"/>
        </w:rPr>
        <w:t xml:space="preserve">n the late 1990s, the Institute used the </w:t>
      </w:r>
      <w:r w:rsidR="00664D40" w:rsidRPr="003242E9">
        <w:rPr>
          <w:rFonts w:cs="Times New Roman"/>
          <w:sz w:val="24"/>
          <w:szCs w:val="24"/>
        </w:rPr>
        <w:t xml:space="preserve">UK </w:t>
      </w:r>
      <w:r w:rsidRPr="003242E9">
        <w:rPr>
          <w:rFonts w:cs="Times New Roman"/>
          <w:sz w:val="24"/>
          <w:szCs w:val="24"/>
        </w:rPr>
        <w:t>model to estimate the macroeconomic impact of UK withdrawal from the EU</w:t>
      </w:r>
      <w:r w:rsidR="0063235F" w:rsidRPr="003242E9">
        <w:rPr>
          <w:rFonts w:cs="Times New Roman"/>
          <w:sz w:val="24"/>
          <w:szCs w:val="24"/>
        </w:rPr>
        <w:t>,</w:t>
      </w:r>
      <w:r w:rsidR="00B52D05" w:rsidRPr="003242E9">
        <w:rPr>
          <w:rFonts w:cs="Times New Roman"/>
          <w:sz w:val="24"/>
          <w:szCs w:val="24"/>
        </w:rPr>
        <w:t xml:space="preserve"> (published in Pain and Young, 2004)</w:t>
      </w:r>
      <w:r w:rsidR="00C131FB">
        <w:rPr>
          <w:rFonts w:cs="Times New Roman"/>
          <w:sz w:val="24"/>
          <w:szCs w:val="24"/>
        </w:rPr>
        <w:t>.</w:t>
      </w:r>
      <w:r w:rsidR="00184F52" w:rsidRPr="003242E9">
        <w:rPr>
          <w:rStyle w:val="FootnoteReference"/>
          <w:rFonts w:cs="Times New Roman"/>
          <w:sz w:val="24"/>
          <w:szCs w:val="24"/>
        </w:rPr>
        <w:footnoteReference w:id="7"/>
      </w:r>
      <w:r w:rsidRPr="003242E9">
        <w:rPr>
          <w:rFonts w:cs="Times New Roman"/>
          <w:sz w:val="24"/>
          <w:szCs w:val="24"/>
        </w:rPr>
        <w:t xml:space="preserve">  </w:t>
      </w:r>
      <w:r w:rsidR="00B52D05" w:rsidRPr="003242E9">
        <w:rPr>
          <w:rFonts w:cs="Times New Roman"/>
          <w:sz w:val="24"/>
          <w:szCs w:val="24"/>
        </w:rPr>
        <w:t xml:space="preserve">While there was an active debate at the time about the costs and benefits of EU membership, there </w:t>
      </w:r>
      <w:r w:rsidR="009A1C5B" w:rsidRPr="003242E9">
        <w:rPr>
          <w:rFonts w:cs="Times New Roman"/>
          <w:sz w:val="24"/>
          <w:szCs w:val="24"/>
        </w:rPr>
        <w:t xml:space="preserve">was </w:t>
      </w:r>
      <w:r w:rsidR="00B52D05" w:rsidRPr="003242E9">
        <w:rPr>
          <w:rFonts w:cs="Times New Roman"/>
          <w:sz w:val="24"/>
          <w:szCs w:val="24"/>
        </w:rPr>
        <w:t xml:space="preserve">little public discussion of withdrawal from the EU.  This meant that the analysis seemed to be purely hypothetical.  </w:t>
      </w:r>
      <w:r w:rsidR="009A1C5B" w:rsidRPr="003242E9">
        <w:rPr>
          <w:rFonts w:cs="Times New Roman"/>
          <w:sz w:val="24"/>
          <w:szCs w:val="24"/>
        </w:rPr>
        <w:t xml:space="preserve">But it became extremely relevant following the May 2015 general election when the </w:t>
      </w:r>
      <w:r w:rsidR="00C131FB">
        <w:rPr>
          <w:rFonts w:cs="Times New Roman"/>
          <w:sz w:val="24"/>
          <w:szCs w:val="24"/>
        </w:rPr>
        <w:t xml:space="preserve">new </w:t>
      </w:r>
      <w:r w:rsidR="009A1C5B" w:rsidRPr="003242E9">
        <w:rPr>
          <w:rFonts w:cs="Times New Roman"/>
          <w:sz w:val="24"/>
          <w:szCs w:val="24"/>
        </w:rPr>
        <w:t>Conservative</w:t>
      </w:r>
      <w:r w:rsidR="00C131FB">
        <w:rPr>
          <w:rFonts w:cs="Times New Roman"/>
          <w:sz w:val="24"/>
          <w:szCs w:val="24"/>
        </w:rPr>
        <w:t xml:space="preserve"> government </w:t>
      </w:r>
      <w:r w:rsidR="009A1C5B" w:rsidRPr="003242E9">
        <w:rPr>
          <w:rFonts w:cs="Times New Roman"/>
          <w:sz w:val="24"/>
          <w:szCs w:val="24"/>
        </w:rPr>
        <w:t xml:space="preserve">immediately pledged to hold a referendum on the UK's membership of the EU by the end of 2017.  </w:t>
      </w:r>
    </w:p>
    <w:p w:rsidR="0089298D" w:rsidRPr="003242E9" w:rsidRDefault="009A1C5B" w:rsidP="003F7C6D">
      <w:pPr>
        <w:jc w:val="both"/>
        <w:rPr>
          <w:rFonts w:cs="Times New Roman"/>
          <w:sz w:val="24"/>
          <w:szCs w:val="24"/>
        </w:rPr>
      </w:pPr>
      <w:r w:rsidRPr="003242E9">
        <w:rPr>
          <w:rFonts w:cs="Times New Roman"/>
          <w:sz w:val="24"/>
          <w:szCs w:val="24"/>
        </w:rPr>
        <w:t>This prompted new model-based analysis of the risks (or rewards) and the balance of those risks posed by a UK exit from the European Union</w:t>
      </w:r>
      <w:r w:rsidR="00664D40" w:rsidRPr="003242E9">
        <w:rPr>
          <w:rFonts w:cs="Times New Roman"/>
          <w:sz w:val="24"/>
          <w:szCs w:val="24"/>
        </w:rPr>
        <w:t xml:space="preserve">. The paper by </w:t>
      </w:r>
      <w:proofErr w:type="spellStart"/>
      <w:r w:rsidR="0077022F" w:rsidRPr="003242E9">
        <w:rPr>
          <w:rFonts w:cs="Times New Roman"/>
          <w:sz w:val="24"/>
          <w:szCs w:val="24"/>
        </w:rPr>
        <w:t>Ebell</w:t>
      </w:r>
      <w:proofErr w:type="spellEnd"/>
      <w:r w:rsidR="0077022F" w:rsidRPr="003242E9">
        <w:rPr>
          <w:rFonts w:cs="Times New Roman"/>
          <w:sz w:val="24"/>
          <w:szCs w:val="24"/>
        </w:rPr>
        <w:t xml:space="preserve">, Hurst and Warren, </w:t>
      </w:r>
      <w:r w:rsidR="00664D40" w:rsidRPr="003242E9">
        <w:rPr>
          <w:rFonts w:cs="Times New Roman"/>
          <w:sz w:val="24"/>
          <w:szCs w:val="24"/>
        </w:rPr>
        <w:t>(</w:t>
      </w:r>
      <w:r w:rsidR="0077022F" w:rsidRPr="003242E9">
        <w:rPr>
          <w:rFonts w:cs="Times New Roman"/>
          <w:sz w:val="24"/>
          <w:szCs w:val="24"/>
        </w:rPr>
        <w:t>2016)</w:t>
      </w:r>
      <w:r w:rsidR="00664D40" w:rsidRPr="003242E9">
        <w:rPr>
          <w:rFonts w:cs="Times New Roman"/>
          <w:sz w:val="24"/>
          <w:szCs w:val="24"/>
        </w:rPr>
        <w:t xml:space="preserve"> extended previous work with the model, and suggested that in the long run output would be between 3 and 6 percent lower than it would have otherwise have been, with the higher figure </w:t>
      </w:r>
      <w:proofErr w:type="gramStart"/>
      <w:r w:rsidR="00664D40" w:rsidRPr="003242E9">
        <w:rPr>
          <w:rFonts w:cs="Times New Roman"/>
          <w:sz w:val="24"/>
          <w:szCs w:val="24"/>
        </w:rPr>
        <w:t>taking into account</w:t>
      </w:r>
      <w:proofErr w:type="gramEnd"/>
      <w:r w:rsidR="00664D40" w:rsidRPr="003242E9">
        <w:rPr>
          <w:rFonts w:cs="Times New Roman"/>
          <w:sz w:val="24"/>
          <w:szCs w:val="24"/>
        </w:rPr>
        <w:t xml:space="preserve"> the reduction in competitive pressure that would come from leaving the EU</w:t>
      </w:r>
      <w:r w:rsidRPr="003242E9">
        <w:rPr>
          <w:rFonts w:cs="Times New Roman"/>
          <w:sz w:val="24"/>
          <w:szCs w:val="24"/>
        </w:rPr>
        <w:t>.</w:t>
      </w:r>
      <w:r w:rsidR="0077022F" w:rsidRPr="003242E9">
        <w:rPr>
          <w:rFonts w:cs="Times New Roman"/>
          <w:sz w:val="24"/>
          <w:szCs w:val="24"/>
        </w:rPr>
        <w:t xml:space="preserve">  The May 2016 </w:t>
      </w:r>
      <w:r w:rsidR="0077022F" w:rsidRPr="003242E9">
        <w:rPr>
          <w:rFonts w:cs="Times New Roman"/>
          <w:i/>
          <w:sz w:val="24"/>
          <w:szCs w:val="24"/>
        </w:rPr>
        <w:t>Review</w:t>
      </w:r>
      <w:r w:rsidR="0077022F" w:rsidRPr="003242E9">
        <w:rPr>
          <w:rFonts w:cs="Times New Roman"/>
          <w:sz w:val="24"/>
          <w:szCs w:val="24"/>
        </w:rPr>
        <w:t xml:space="preserve">, published six weeks ahead of the referendum, contained a range of analysis of the effects of EU exit, including a commentary on the economic consequences of leaving the EU.  This put the long-term </w:t>
      </w:r>
      <w:r w:rsidR="00C131FB">
        <w:rPr>
          <w:rFonts w:cs="Times New Roman"/>
          <w:sz w:val="24"/>
          <w:szCs w:val="24"/>
        </w:rPr>
        <w:t xml:space="preserve">adverse </w:t>
      </w:r>
      <w:r w:rsidR="0077022F" w:rsidRPr="003242E9">
        <w:rPr>
          <w:rFonts w:cs="Times New Roman"/>
          <w:sz w:val="24"/>
          <w:szCs w:val="24"/>
        </w:rPr>
        <w:t>effect on GDP of EU exit at about ‘1.5 to 3.7 per cent’</w:t>
      </w:r>
      <w:r w:rsidR="0063235F" w:rsidRPr="003242E9">
        <w:rPr>
          <w:rFonts w:cs="Times New Roman"/>
          <w:sz w:val="24"/>
          <w:szCs w:val="24"/>
        </w:rPr>
        <w:t>. As</w:t>
      </w:r>
      <w:r w:rsidR="00EE22EF" w:rsidRPr="003242E9">
        <w:rPr>
          <w:rFonts w:cs="Times New Roman"/>
          <w:sz w:val="24"/>
          <w:szCs w:val="24"/>
        </w:rPr>
        <w:t xml:space="preserve"> was recognised at the time</w:t>
      </w:r>
      <w:r w:rsidR="00B4343D" w:rsidRPr="003242E9">
        <w:rPr>
          <w:rFonts w:cs="Times New Roman"/>
          <w:sz w:val="24"/>
          <w:szCs w:val="24"/>
        </w:rPr>
        <w:t xml:space="preserve">, </w:t>
      </w:r>
      <w:r w:rsidR="00EE22EF" w:rsidRPr="003242E9">
        <w:rPr>
          <w:rFonts w:cs="Times New Roman"/>
          <w:sz w:val="24"/>
          <w:szCs w:val="24"/>
        </w:rPr>
        <w:t>there is considerable uncertainty about the effects on the UK economy of leaving the EU, not least because it is not clear what trade deals will be negotiated</w:t>
      </w:r>
      <w:r w:rsidR="00B4343D" w:rsidRPr="003242E9">
        <w:rPr>
          <w:rFonts w:cs="Times New Roman"/>
          <w:sz w:val="24"/>
          <w:szCs w:val="24"/>
        </w:rPr>
        <w:t xml:space="preserve"> (Armstrong and </w:t>
      </w:r>
      <w:proofErr w:type="spellStart"/>
      <w:r w:rsidR="00B4343D" w:rsidRPr="003242E9">
        <w:rPr>
          <w:rFonts w:cs="Times New Roman"/>
          <w:sz w:val="24"/>
          <w:szCs w:val="24"/>
        </w:rPr>
        <w:t>Portes</w:t>
      </w:r>
      <w:proofErr w:type="spellEnd"/>
      <w:r w:rsidR="00B4343D" w:rsidRPr="003242E9">
        <w:rPr>
          <w:rFonts w:cs="Times New Roman"/>
          <w:sz w:val="24"/>
          <w:szCs w:val="24"/>
        </w:rPr>
        <w:t>, 2016)</w:t>
      </w:r>
      <w:r w:rsidR="00EE22EF" w:rsidRPr="003242E9">
        <w:rPr>
          <w:rFonts w:cs="Times New Roman"/>
          <w:sz w:val="24"/>
          <w:szCs w:val="24"/>
        </w:rPr>
        <w:t xml:space="preserve">.  </w:t>
      </w:r>
      <w:r w:rsidR="0089298D" w:rsidRPr="003242E9">
        <w:rPr>
          <w:rFonts w:cs="Times New Roman"/>
          <w:sz w:val="24"/>
          <w:szCs w:val="24"/>
        </w:rPr>
        <w:t xml:space="preserve">Arguably of more </w:t>
      </w:r>
      <w:r w:rsidR="0089298D" w:rsidRPr="003242E9">
        <w:rPr>
          <w:rFonts w:cs="Times New Roman"/>
          <w:sz w:val="24"/>
          <w:szCs w:val="24"/>
        </w:rPr>
        <w:lastRenderedPageBreak/>
        <w:t>importance than the estimated percentage effect on GDP is that this type of analysis provides a framework for discussion of policies by elucidating the various channels by which they take effect.  In this way it can highlight what are the key factors that determine the response to a policy, how adverse effects might be mitigated, and where further research is needed.</w:t>
      </w:r>
    </w:p>
    <w:p w:rsidR="00EE22EF" w:rsidRPr="003242E9" w:rsidRDefault="00EE22EF" w:rsidP="003F7C6D">
      <w:pPr>
        <w:jc w:val="both"/>
        <w:rPr>
          <w:rFonts w:cs="Times New Roman"/>
          <w:i/>
          <w:sz w:val="24"/>
          <w:szCs w:val="24"/>
        </w:rPr>
      </w:pPr>
      <w:r w:rsidRPr="003242E9">
        <w:rPr>
          <w:rFonts w:cs="Times New Roman"/>
          <w:i/>
          <w:sz w:val="24"/>
          <w:szCs w:val="24"/>
        </w:rPr>
        <w:t xml:space="preserve">Uncertainty </w:t>
      </w:r>
    </w:p>
    <w:p w:rsidR="009F6E8A" w:rsidRDefault="009F6E8A" w:rsidP="003F7C6D">
      <w:pPr>
        <w:jc w:val="both"/>
        <w:rPr>
          <w:rFonts w:cs="Times New Roman"/>
          <w:sz w:val="24"/>
          <w:szCs w:val="24"/>
        </w:rPr>
      </w:pPr>
      <w:r w:rsidRPr="009F6E8A">
        <w:rPr>
          <w:rFonts w:cs="Times New Roman"/>
          <w:sz w:val="24"/>
          <w:szCs w:val="24"/>
        </w:rPr>
        <w:t>A</w:t>
      </w:r>
      <w:r>
        <w:rPr>
          <w:rFonts w:cs="Times New Roman"/>
          <w:sz w:val="24"/>
          <w:szCs w:val="24"/>
        </w:rPr>
        <w:t xml:space="preserve">nother important development </w:t>
      </w:r>
      <w:r w:rsidRPr="009F6E8A">
        <w:rPr>
          <w:rFonts w:cs="Times New Roman"/>
          <w:sz w:val="24"/>
          <w:szCs w:val="24"/>
        </w:rPr>
        <w:t>was the treatment of uncertainty in both the forecast and policy analysis. A special edition of th</w:t>
      </w:r>
      <w:r w:rsidR="00C131FB">
        <w:rPr>
          <w:rFonts w:cs="Times New Roman"/>
          <w:sz w:val="24"/>
          <w:szCs w:val="24"/>
        </w:rPr>
        <w:t xml:space="preserve">is </w:t>
      </w:r>
      <w:r w:rsidRPr="00C131FB">
        <w:rPr>
          <w:rFonts w:cs="Times New Roman"/>
          <w:i/>
          <w:sz w:val="24"/>
          <w:szCs w:val="24"/>
        </w:rPr>
        <w:t>Review</w:t>
      </w:r>
      <w:r w:rsidRPr="009F6E8A">
        <w:rPr>
          <w:rFonts w:cs="Times New Roman"/>
          <w:sz w:val="24"/>
          <w:szCs w:val="24"/>
        </w:rPr>
        <w:t xml:space="preserve"> in 1996 discusse</w:t>
      </w:r>
      <w:r w:rsidR="00C131FB">
        <w:rPr>
          <w:rFonts w:cs="Times New Roman"/>
          <w:sz w:val="24"/>
          <w:szCs w:val="24"/>
        </w:rPr>
        <w:t>d</w:t>
      </w:r>
      <w:r w:rsidRPr="009F6E8A">
        <w:rPr>
          <w:rFonts w:cs="Times New Roman"/>
          <w:sz w:val="24"/>
          <w:szCs w:val="24"/>
        </w:rPr>
        <w:t xml:space="preserve"> this in detail. In that issue Blake (1996) argues that the use of stochastic simulation conditioned on a ‘sensible’ monetary policy rule is a consistent way of displaying forecast uncertainty. This model-based </w:t>
      </w:r>
      <w:r w:rsidR="00C131FB">
        <w:rPr>
          <w:rFonts w:cs="Times New Roman"/>
          <w:sz w:val="24"/>
          <w:szCs w:val="24"/>
        </w:rPr>
        <w:t xml:space="preserve">analysis </w:t>
      </w:r>
      <w:r w:rsidRPr="009F6E8A">
        <w:rPr>
          <w:rFonts w:cs="Times New Roman"/>
          <w:sz w:val="24"/>
          <w:szCs w:val="24"/>
        </w:rPr>
        <w:t>was essentially simultaneously developed with the Bank of England’s fan chart, but on a somewhat different statistical basis. This approach suggested a way of communicating uncertainty probabilistically grounded in the data, one which is now in widespread use.</w:t>
      </w:r>
    </w:p>
    <w:p w:rsidR="00F54828" w:rsidRPr="003242E9" w:rsidRDefault="00B4343D" w:rsidP="003F7C6D">
      <w:pPr>
        <w:jc w:val="both"/>
        <w:rPr>
          <w:rFonts w:cs="Times New Roman"/>
          <w:sz w:val="24"/>
          <w:szCs w:val="24"/>
        </w:rPr>
      </w:pPr>
      <w:r w:rsidRPr="003242E9">
        <w:rPr>
          <w:rFonts w:cs="Times New Roman"/>
          <w:sz w:val="24"/>
          <w:szCs w:val="24"/>
        </w:rPr>
        <w:t xml:space="preserve">While the effects of policies are uncertain, policy frameworks can be designed in such a way as to reduce </w:t>
      </w:r>
      <w:r w:rsidR="00F54828" w:rsidRPr="003242E9">
        <w:rPr>
          <w:rFonts w:cs="Times New Roman"/>
          <w:sz w:val="24"/>
          <w:szCs w:val="24"/>
        </w:rPr>
        <w:t>uncertainty in the economy</w:t>
      </w:r>
      <w:r w:rsidRPr="003242E9">
        <w:rPr>
          <w:rFonts w:cs="Times New Roman"/>
          <w:sz w:val="24"/>
          <w:szCs w:val="24"/>
        </w:rPr>
        <w:t xml:space="preserve">. </w:t>
      </w:r>
      <w:r w:rsidR="00F54828" w:rsidRPr="003242E9">
        <w:rPr>
          <w:rFonts w:cs="Times New Roman"/>
          <w:sz w:val="24"/>
          <w:szCs w:val="24"/>
        </w:rPr>
        <w:t xml:space="preserve">Standard policy analysis, as discussed above, relies on notional innovations and investigates standard patterns of responses. Although this is useful, it does not help us look at uncertainty, as many shocks to many markets can happen, and all estimated equations on a model have a residual element. Evaluations of uncertainty using </w:t>
      </w:r>
      <w:proofErr w:type="spellStart"/>
      <w:r w:rsidR="00F54828" w:rsidRPr="003242E9">
        <w:rPr>
          <w:rFonts w:cs="Times New Roman"/>
          <w:sz w:val="24"/>
          <w:szCs w:val="24"/>
        </w:rPr>
        <w:t>NiGEM</w:t>
      </w:r>
      <w:proofErr w:type="spellEnd"/>
      <w:r w:rsidR="00F54828" w:rsidRPr="003242E9">
        <w:rPr>
          <w:rFonts w:cs="Times New Roman"/>
          <w:sz w:val="24"/>
          <w:szCs w:val="24"/>
        </w:rPr>
        <w:t xml:space="preserve"> have used whitened historical residuals and applied them repeatedly and randomly to the model projections in order to put forecast uncertainty bounds around those projections. The same bootstrapping technique has been used to evaluate policy regimes and policy rules. Barrell and </w:t>
      </w:r>
      <w:proofErr w:type="spellStart"/>
      <w:r w:rsidR="00F54828" w:rsidRPr="003242E9">
        <w:rPr>
          <w:rFonts w:cs="Times New Roman"/>
          <w:sz w:val="24"/>
          <w:szCs w:val="24"/>
        </w:rPr>
        <w:t>Dury</w:t>
      </w:r>
      <w:proofErr w:type="spellEnd"/>
      <w:r w:rsidR="00F54828" w:rsidRPr="003242E9">
        <w:rPr>
          <w:rFonts w:cs="Times New Roman"/>
          <w:sz w:val="24"/>
          <w:szCs w:val="24"/>
        </w:rPr>
        <w:t xml:space="preserve"> (2000a) used stochastic model rep</w:t>
      </w:r>
      <w:r w:rsidRPr="003242E9">
        <w:rPr>
          <w:rFonts w:cs="Times New Roman"/>
          <w:sz w:val="24"/>
          <w:szCs w:val="24"/>
        </w:rPr>
        <w:t>et</w:t>
      </w:r>
      <w:r w:rsidR="00F54828" w:rsidRPr="003242E9">
        <w:rPr>
          <w:rFonts w:cs="Times New Roman"/>
          <w:sz w:val="24"/>
          <w:szCs w:val="24"/>
        </w:rPr>
        <w:t>itions and evaluated the impacts of the UK joining EMU on the UK and European economies, and suggested that the reduction in uncertainty associated with exchange rate stability with major trading partners would raise UK GDP because risk premia for investment and for trade would be reduced</w:t>
      </w:r>
      <w:r w:rsidR="00AC1D1A" w:rsidRPr="003242E9">
        <w:rPr>
          <w:rFonts w:cs="Times New Roman"/>
          <w:sz w:val="24"/>
          <w:szCs w:val="24"/>
        </w:rPr>
        <w:t>.</w:t>
      </w:r>
      <w:r w:rsidR="00F54828" w:rsidRPr="003242E9">
        <w:rPr>
          <w:rFonts w:cs="Times New Roman"/>
          <w:sz w:val="24"/>
          <w:szCs w:val="24"/>
        </w:rPr>
        <w:t xml:space="preserve"> Barrell and </w:t>
      </w:r>
      <w:proofErr w:type="spellStart"/>
      <w:r w:rsidR="00F54828" w:rsidRPr="003242E9">
        <w:rPr>
          <w:rFonts w:cs="Times New Roman"/>
          <w:sz w:val="24"/>
          <w:szCs w:val="24"/>
        </w:rPr>
        <w:t>Dury</w:t>
      </w:r>
      <w:proofErr w:type="spellEnd"/>
      <w:r w:rsidR="00F54828" w:rsidRPr="003242E9">
        <w:rPr>
          <w:rFonts w:cs="Times New Roman"/>
          <w:sz w:val="24"/>
          <w:szCs w:val="24"/>
        </w:rPr>
        <w:t xml:space="preserve"> (200</w:t>
      </w:r>
      <w:r w:rsidR="00AC1D1A" w:rsidRPr="003242E9">
        <w:rPr>
          <w:rFonts w:cs="Times New Roman"/>
          <w:sz w:val="24"/>
          <w:szCs w:val="24"/>
        </w:rPr>
        <w:t>0</w:t>
      </w:r>
      <w:r w:rsidR="00F54828" w:rsidRPr="003242E9">
        <w:rPr>
          <w:rFonts w:cs="Times New Roman"/>
          <w:sz w:val="24"/>
          <w:szCs w:val="24"/>
        </w:rPr>
        <w:t>b) extended this analysis to monetary targeting regimes in general, showing that a price level target would be better than inflation targeting for other regimes as it would reduce long run uncertainty and hence raise output.  Barrell</w:t>
      </w:r>
      <w:r w:rsidR="00C131FB">
        <w:rPr>
          <w:rFonts w:cs="Times New Roman"/>
          <w:sz w:val="24"/>
          <w:szCs w:val="24"/>
        </w:rPr>
        <w:t>,</w:t>
      </w:r>
      <w:r w:rsidR="00F54828" w:rsidRPr="003242E9">
        <w:rPr>
          <w:rFonts w:cs="Times New Roman"/>
          <w:sz w:val="24"/>
          <w:szCs w:val="24"/>
        </w:rPr>
        <w:t xml:space="preserve"> Hall and Hurst (2006) evaluated the optimality of inflation targeting as against a nominal GDP target, and suggested that stochastic analysis indicated that the latter would reduce uncertainty more than the former.  It is also possible to use stochastic simulation analyses for evaluating fiscal targeting </w:t>
      </w:r>
      <w:proofErr w:type="gramStart"/>
      <w:r w:rsidR="00F54828" w:rsidRPr="003242E9">
        <w:rPr>
          <w:rFonts w:cs="Times New Roman"/>
          <w:sz w:val="24"/>
          <w:szCs w:val="24"/>
        </w:rPr>
        <w:t>regimes</w:t>
      </w:r>
      <w:r w:rsidR="00A21DDD">
        <w:rPr>
          <w:rFonts w:cs="Times New Roman"/>
          <w:sz w:val="24"/>
          <w:szCs w:val="24"/>
        </w:rPr>
        <w:t xml:space="preserve">.  </w:t>
      </w:r>
      <w:proofErr w:type="gramEnd"/>
      <w:r w:rsidR="00F54828" w:rsidRPr="003242E9">
        <w:rPr>
          <w:rFonts w:cs="Times New Roman"/>
          <w:sz w:val="24"/>
          <w:szCs w:val="24"/>
        </w:rPr>
        <w:t>Barrell and Pina (2004) looked at t</w:t>
      </w:r>
      <w:r w:rsidR="00184F52" w:rsidRPr="003242E9">
        <w:rPr>
          <w:rFonts w:cs="Times New Roman"/>
          <w:sz w:val="24"/>
          <w:szCs w:val="24"/>
        </w:rPr>
        <w:t>h</w:t>
      </w:r>
      <w:r w:rsidR="00F54828" w:rsidRPr="003242E9">
        <w:rPr>
          <w:rFonts w:cs="Times New Roman"/>
          <w:sz w:val="24"/>
          <w:szCs w:val="24"/>
        </w:rPr>
        <w:t>e feasibility of the Stability and Growth Pact in Europe, and suggested that the targets would often be breached without tighter fiscal deficit feedbacks on to taxes. Barrell, Hurst and Mitchell (2007) used similar techniques to look at cyclically adjusted budget balance in Europe in a world with uncertainty similar to that observed in the past.</w:t>
      </w:r>
    </w:p>
    <w:p w:rsidR="00816BDA" w:rsidRPr="003242E9" w:rsidRDefault="0089298D" w:rsidP="003F7C6D">
      <w:pPr>
        <w:pStyle w:val="ListParagraph"/>
        <w:numPr>
          <w:ilvl w:val="0"/>
          <w:numId w:val="1"/>
        </w:numPr>
        <w:jc w:val="both"/>
        <w:rPr>
          <w:rFonts w:cs="Times New Roman"/>
          <w:sz w:val="24"/>
          <w:szCs w:val="24"/>
        </w:rPr>
      </w:pPr>
      <w:r w:rsidRPr="003242E9">
        <w:rPr>
          <w:rFonts w:cs="Times New Roman"/>
          <w:sz w:val="24"/>
          <w:szCs w:val="24"/>
        </w:rPr>
        <w:t>Forecasting performance</w:t>
      </w:r>
    </w:p>
    <w:p w:rsidR="004846DF" w:rsidRPr="003242E9" w:rsidRDefault="0023709F" w:rsidP="003F7C6D">
      <w:pPr>
        <w:jc w:val="both"/>
        <w:rPr>
          <w:rFonts w:eastAsia="Times New Roman" w:cs="Times New Roman"/>
          <w:sz w:val="24"/>
          <w:szCs w:val="24"/>
          <w:lang w:eastAsia="en-GB"/>
        </w:rPr>
      </w:pPr>
      <w:r w:rsidRPr="003242E9">
        <w:rPr>
          <w:rFonts w:cs="Times New Roman"/>
          <w:sz w:val="24"/>
          <w:szCs w:val="24"/>
        </w:rPr>
        <w:t xml:space="preserve">It goes without saying that there is considerable uncertainty associated with economic forecasts.  As noted earlier, the Institute has provided a regular quarterly forecast of the UK economy since 1959.  For many years this was presented as a point forecast for the key variables of interest.  </w:t>
      </w:r>
      <w:r w:rsidR="00CE6816" w:rsidRPr="003242E9">
        <w:rPr>
          <w:rFonts w:cs="Times New Roman"/>
          <w:sz w:val="24"/>
          <w:szCs w:val="24"/>
        </w:rPr>
        <w:t xml:space="preserve">In practice, most users would have understood </w:t>
      </w:r>
      <w:r w:rsidRPr="003242E9">
        <w:rPr>
          <w:rFonts w:cs="Times New Roman"/>
          <w:sz w:val="24"/>
          <w:szCs w:val="24"/>
        </w:rPr>
        <w:t xml:space="preserve">that any forecast has an error range associated with it, </w:t>
      </w:r>
      <w:r w:rsidR="00CE6816" w:rsidRPr="003242E9">
        <w:rPr>
          <w:rFonts w:cs="Times New Roman"/>
          <w:sz w:val="24"/>
          <w:szCs w:val="24"/>
        </w:rPr>
        <w:t xml:space="preserve">but this was not made explicit until 1995 when the Institute </w:t>
      </w:r>
      <w:r w:rsidR="00CE6816" w:rsidRPr="003242E9">
        <w:rPr>
          <w:rFonts w:cs="Times New Roman"/>
          <w:sz w:val="24"/>
          <w:szCs w:val="24"/>
        </w:rPr>
        <w:lastRenderedPageBreak/>
        <w:t>started to publish its estimates of the probabilities of different out</w:t>
      </w:r>
      <w:r w:rsidR="004846DF" w:rsidRPr="003242E9">
        <w:rPr>
          <w:rFonts w:cs="Times New Roman"/>
          <w:sz w:val="24"/>
          <w:szCs w:val="24"/>
        </w:rPr>
        <w:t xml:space="preserve">comes </w:t>
      </w:r>
      <w:r w:rsidR="00CE6816" w:rsidRPr="003242E9">
        <w:rPr>
          <w:rFonts w:cs="Times New Roman"/>
          <w:sz w:val="24"/>
          <w:szCs w:val="24"/>
        </w:rPr>
        <w:t xml:space="preserve">for GDP growth and inflation.  </w:t>
      </w:r>
      <w:r w:rsidR="004846DF" w:rsidRPr="003242E9">
        <w:rPr>
          <w:rFonts w:cs="Times New Roman"/>
          <w:sz w:val="24"/>
          <w:szCs w:val="24"/>
        </w:rPr>
        <w:t xml:space="preserve">Ironically, it was around this time that the Institute’s achieved external recognition for the accuracy of its point forecasts.  In February 1996, it was </w:t>
      </w:r>
      <w:r w:rsidR="004846DF" w:rsidRPr="003242E9">
        <w:rPr>
          <w:rFonts w:eastAsia="Times New Roman" w:cs="Times New Roman"/>
          <w:sz w:val="24"/>
          <w:szCs w:val="24"/>
          <w:lang w:eastAsia="en-GB"/>
        </w:rPr>
        <w:t>awarded the ‘Golden Guru’ award of the Independent newspaper, and in December came top of the Sunday Times table of 45 forecasters for the second successive year – a unique achievement described by that newspaper as ‘close to a miracle’.</w:t>
      </w:r>
    </w:p>
    <w:p w:rsidR="000F3DDB" w:rsidRPr="003242E9" w:rsidRDefault="004846DF" w:rsidP="003F7C6D">
      <w:pPr>
        <w:jc w:val="both"/>
        <w:rPr>
          <w:rFonts w:cs="Times New Roman"/>
          <w:sz w:val="24"/>
          <w:szCs w:val="24"/>
        </w:rPr>
      </w:pPr>
      <w:r w:rsidRPr="003242E9">
        <w:rPr>
          <w:rFonts w:cs="Times New Roman"/>
          <w:sz w:val="24"/>
          <w:szCs w:val="24"/>
        </w:rPr>
        <w:t xml:space="preserve">Despite the occasional accuracy of its </w:t>
      </w:r>
      <w:r w:rsidR="000F3DDB" w:rsidRPr="003242E9">
        <w:rPr>
          <w:rFonts w:cs="Times New Roman"/>
          <w:sz w:val="24"/>
          <w:szCs w:val="24"/>
        </w:rPr>
        <w:t xml:space="preserve">point </w:t>
      </w:r>
      <w:r w:rsidRPr="003242E9">
        <w:rPr>
          <w:rFonts w:cs="Times New Roman"/>
          <w:sz w:val="24"/>
          <w:szCs w:val="24"/>
        </w:rPr>
        <w:t xml:space="preserve">forecasts, the Institute has been careful over the years to emphasise that </w:t>
      </w:r>
      <w:r w:rsidR="000F3DDB" w:rsidRPr="003242E9">
        <w:rPr>
          <w:rFonts w:cs="Times New Roman"/>
          <w:sz w:val="24"/>
          <w:szCs w:val="24"/>
        </w:rPr>
        <w:t xml:space="preserve">these </w:t>
      </w:r>
      <w:r w:rsidRPr="003242E9">
        <w:rPr>
          <w:rFonts w:cs="Times New Roman"/>
          <w:sz w:val="24"/>
          <w:szCs w:val="24"/>
        </w:rPr>
        <w:t xml:space="preserve">are prone to error.  </w:t>
      </w:r>
      <w:r w:rsidR="000F3DDB" w:rsidRPr="003242E9">
        <w:rPr>
          <w:rFonts w:cs="Times New Roman"/>
          <w:sz w:val="24"/>
          <w:szCs w:val="24"/>
        </w:rPr>
        <w:t xml:space="preserve">It has published many articles setting out the errors in its point forecasts, the most recent being Kirby and others (2017).  </w:t>
      </w:r>
    </w:p>
    <w:p w:rsidR="000F3DDB" w:rsidRPr="003242E9" w:rsidRDefault="000F3DDB" w:rsidP="003F7C6D">
      <w:pPr>
        <w:jc w:val="both"/>
        <w:rPr>
          <w:rFonts w:cs="Times New Roman"/>
          <w:sz w:val="24"/>
          <w:szCs w:val="24"/>
        </w:rPr>
      </w:pPr>
      <w:r w:rsidRPr="003242E9">
        <w:rPr>
          <w:rFonts w:cs="Times New Roman"/>
          <w:sz w:val="24"/>
          <w:szCs w:val="24"/>
        </w:rPr>
        <w:t xml:space="preserve">The recent performance of point forecasts </w:t>
      </w:r>
      <w:r w:rsidR="00A21DDD">
        <w:rPr>
          <w:rFonts w:cs="Times New Roman"/>
          <w:sz w:val="24"/>
          <w:szCs w:val="24"/>
        </w:rPr>
        <w:t xml:space="preserve">for UK GDP growth and inflation </w:t>
      </w:r>
      <w:r w:rsidRPr="003242E9">
        <w:rPr>
          <w:rFonts w:cs="Times New Roman"/>
          <w:sz w:val="24"/>
          <w:szCs w:val="24"/>
        </w:rPr>
        <w:t>is shown visually in charts 1 and 2.</w:t>
      </w:r>
      <w:r w:rsidR="00A21DDD">
        <w:rPr>
          <w:rFonts w:cs="Times New Roman"/>
          <w:sz w:val="24"/>
          <w:szCs w:val="24"/>
        </w:rPr>
        <w:t xml:space="preserve">  Each line shows the three-year ahead forecast from the time the forecast was made.  For the GDP growth </w:t>
      </w:r>
      <w:proofErr w:type="gramStart"/>
      <w:r w:rsidR="00A21DDD">
        <w:rPr>
          <w:rFonts w:cs="Times New Roman"/>
          <w:sz w:val="24"/>
          <w:szCs w:val="24"/>
        </w:rPr>
        <w:t>forecasts</w:t>
      </w:r>
      <w:proofErr w:type="gramEnd"/>
      <w:r w:rsidR="00A21DDD">
        <w:rPr>
          <w:rFonts w:cs="Times New Roman"/>
          <w:sz w:val="24"/>
          <w:szCs w:val="24"/>
        </w:rPr>
        <w:t xml:space="preserve"> it can be seen that the starting point is often quite different from the latest estimate of GDP growth at that time, reflecting the tendency for growth forecasts to be revised.  One of the themes of Institute work over the years has been the need for better measurement of the current state of the economy.   </w:t>
      </w:r>
      <w:r w:rsidR="00337440">
        <w:rPr>
          <w:rFonts w:cs="Times New Roman"/>
          <w:sz w:val="24"/>
          <w:szCs w:val="24"/>
        </w:rPr>
        <w:t>The Institute has recently developed a GDP Tracker as a focus for its assessment of current trends</w:t>
      </w:r>
      <w:r w:rsidR="006A1DA8">
        <w:rPr>
          <w:rFonts w:cs="Times New Roman"/>
          <w:sz w:val="24"/>
          <w:szCs w:val="24"/>
        </w:rPr>
        <w:t>, and is working with the Office for National Statistics</w:t>
      </w:r>
      <w:r w:rsidR="00673199">
        <w:rPr>
          <w:rFonts w:cs="Times New Roman"/>
          <w:sz w:val="24"/>
          <w:szCs w:val="24"/>
        </w:rPr>
        <w:t xml:space="preserve"> to improve official estimates.</w:t>
      </w:r>
      <w:bookmarkStart w:id="0" w:name="_GoBack"/>
      <w:bookmarkEnd w:id="0"/>
    </w:p>
    <w:p w:rsidR="004846DF" w:rsidRPr="003242E9" w:rsidRDefault="00337440" w:rsidP="003F7C6D">
      <w:pPr>
        <w:jc w:val="both"/>
        <w:rPr>
          <w:rFonts w:cs="Times New Roman"/>
          <w:sz w:val="24"/>
          <w:szCs w:val="24"/>
        </w:rPr>
      </w:pPr>
      <w:r>
        <w:rPr>
          <w:rFonts w:cs="Times New Roman"/>
          <w:sz w:val="24"/>
          <w:szCs w:val="24"/>
        </w:rPr>
        <w:t xml:space="preserve">It is clear from recent forecast performance, shown in charts 1 and 2, that the forecast errors appear to be due to two types of </w:t>
      </w:r>
      <w:r w:rsidR="00B75D65">
        <w:rPr>
          <w:rFonts w:cs="Times New Roman"/>
          <w:sz w:val="24"/>
          <w:szCs w:val="24"/>
        </w:rPr>
        <w:t>causes</w:t>
      </w:r>
      <w:r>
        <w:rPr>
          <w:rFonts w:cs="Times New Roman"/>
          <w:sz w:val="24"/>
          <w:szCs w:val="24"/>
        </w:rPr>
        <w:t xml:space="preserve">: </w:t>
      </w:r>
      <w:r w:rsidR="000516A6" w:rsidRPr="003242E9">
        <w:rPr>
          <w:rFonts w:cs="Times New Roman"/>
          <w:sz w:val="24"/>
          <w:szCs w:val="24"/>
        </w:rPr>
        <w:t>a large set of individually unimportant factors that affect individual economic relationships (the residuals on the estimated equations) and occasional uncertain large</w:t>
      </w:r>
      <w:r w:rsidR="00B75D65">
        <w:rPr>
          <w:rFonts w:cs="Times New Roman"/>
          <w:sz w:val="24"/>
          <w:szCs w:val="24"/>
        </w:rPr>
        <w:t>-</w:t>
      </w:r>
      <w:r w:rsidR="000516A6" w:rsidRPr="003242E9">
        <w:rPr>
          <w:rFonts w:cs="Times New Roman"/>
          <w:sz w:val="24"/>
          <w:szCs w:val="24"/>
        </w:rPr>
        <w:t>scale events such as financial crises. Crises have large effects on the longer</w:t>
      </w:r>
      <w:r w:rsidR="00B75D65">
        <w:rPr>
          <w:rFonts w:cs="Times New Roman"/>
          <w:sz w:val="24"/>
          <w:szCs w:val="24"/>
        </w:rPr>
        <w:t>-</w:t>
      </w:r>
      <w:r w:rsidR="000516A6" w:rsidRPr="003242E9">
        <w:rPr>
          <w:rFonts w:cs="Times New Roman"/>
          <w:sz w:val="24"/>
          <w:szCs w:val="24"/>
        </w:rPr>
        <w:t>term prospects of the economy, but the best a forecaster can do is give a data dependent probability forecast of one happening</w:t>
      </w:r>
      <w:r w:rsidR="00841606" w:rsidRPr="003242E9">
        <w:rPr>
          <w:rFonts w:cs="Times New Roman"/>
          <w:sz w:val="24"/>
          <w:szCs w:val="24"/>
        </w:rPr>
        <w:t xml:space="preserve">, whilst </w:t>
      </w:r>
      <w:r w:rsidR="00AC1D1A" w:rsidRPr="003242E9">
        <w:rPr>
          <w:rFonts w:cs="Times New Roman"/>
          <w:sz w:val="24"/>
          <w:szCs w:val="24"/>
        </w:rPr>
        <w:t xml:space="preserve">normally </w:t>
      </w:r>
      <w:r w:rsidR="00841606" w:rsidRPr="003242E9">
        <w:rPr>
          <w:rFonts w:cs="Times New Roman"/>
          <w:sz w:val="24"/>
          <w:szCs w:val="24"/>
        </w:rPr>
        <w:t>basing the modal forecast on the assumption it will not do so</w:t>
      </w:r>
      <w:r w:rsidR="000516A6" w:rsidRPr="003242E9">
        <w:rPr>
          <w:rFonts w:cs="Times New Roman"/>
          <w:sz w:val="24"/>
          <w:szCs w:val="24"/>
        </w:rPr>
        <w:t>. These probabilities do change over time and depend on economic factors. Institute forecasts have taken these possibilities into account for some time. The best example, at least in terms of outcomes, is probably the (October 1998) forecast around the time of the Asian Fi</w:t>
      </w:r>
      <w:r w:rsidR="00CB216D" w:rsidRPr="003242E9">
        <w:rPr>
          <w:rFonts w:cs="Times New Roman"/>
          <w:sz w:val="24"/>
          <w:szCs w:val="24"/>
        </w:rPr>
        <w:t>n</w:t>
      </w:r>
      <w:r w:rsidR="000516A6" w:rsidRPr="003242E9">
        <w:rPr>
          <w:rFonts w:cs="Times New Roman"/>
          <w:sz w:val="24"/>
          <w:szCs w:val="24"/>
        </w:rPr>
        <w:t xml:space="preserve">ancial Crisis. The possible outcomes </w:t>
      </w:r>
      <w:r w:rsidR="00841606" w:rsidRPr="003242E9">
        <w:rPr>
          <w:rFonts w:cs="Times New Roman"/>
          <w:sz w:val="24"/>
          <w:szCs w:val="24"/>
        </w:rPr>
        <w:t xml:space="preserve">for the world economy </w:t>
      </w:r>
      <w:r w:rsidR="000516A6" w:rsidRPr="003242E9">
        <w:rPr>
          <w:rFonts w:cs="Times New Roman"/>
          <w:sz w:val="24"/>
          <w:szCs w:val="24"/>
        </w:rPr>
        <w:t xml:space="preserve">were described as bimodal, with the core forecast being the upper mode where the crisis </w:t>
      </w:r>
      <w:r w:rsidR="00CB216D" w:rsidRPr="003242E9">
        <w:rPr>
          <w:rFonts w:cs="Times New Roman"/>
          <w:sz w:val="24"/>
          <w:szCs w:val="24"/>
        </w:rPr>
        <w:t xml:space="preserve">did not spread to US and European banking systems. </w:t>
      </w:r>
      <w:r w:rsidR="000516A6" w:rsidRPr="003242E9">
        <w:rPr>
          <w:rFonts w:cs="Times New Roman"/>
          <w:sz w:val="24"/>
          <w:szCs w:val="24"/>
        </w:rPr>
        <w:t xml:space="preserve"> </w:t>
      </w:r>
      <w:r w:rsidR="00CB216D" w:rsidRPr="003242E9">
        <w:rPr>
          <w:rFonts w:cs="Times New Roman"/>
          <w:sz w:val="24"/>
          <w:szCs w:val="24"/>
        </w:rPr>
        <w:t xml:space="preserve">The lower mode reflected the impacts of a banking crisis in these countries. This bimodality of possible outcomes is important and is repeated every few years. In 2008, for instance, the Institute had been warning for some time that a banking crisis was becoming more likely, but it assumed that the authorities would have the sense to step in before the situation had become too difficult. Unfortunately, they did not do so, and a sketch of the consequences was contained in the October 2008 </w:t>
      </w:r>
      <w:r w:rsidR="00CB216D" w:rsidRPr="00B75D65">
        <w:rPr>
          <w:rFonts w:cs="Times New Roman"/>
          <w:i/>
          <w:sz w:val="24"/>
          <w:szCs w:val="24"/>
        </w:rPr>
        <w:t>Review</w:t>
      </w:r>
      <w:r w:rsidR="00CB216D" w:rsidRPr="003242E9">
        <w:rPr>
          <w:rFonts w:cs="Times New Roman"/>
          <w:sz w:val="24"/>
          <w:szCs w:val="24"/>
        </w:rPr>
        <w:t xml:space="preserve"> which was devoted entirely to the causes and consequences of the crisis. The scale of the disaster was significantly underestimated, but the importance of studying rare events and their impacts was emphasised.  </w:t>
      </w:r>
      <w:r w:rsidR="000516A6" w:rsidRPr="003242E9">
        <w:rPr>
          <w:rFonts w:cs="Times New Roman"/>
          <w:sz w:val="24"/>
          <w:szCs w:val="24"/>
        </w:rPr>
        <w:t xml:space="preserve"> </w:t>
      </w:r>
    </w:p>
    <w:p w:rsidR="00CB216D" w:rsidRPr="003242E9" w:rsidRDefault="00CB216D" w:rsidP="00112F6D">
      <w:pPr>
        <w:jc w:val="both"/>
        <w:rPr>
          <w:rFonts w:cs="Times New Roman"/>
          <w:sz w:val="24"/>
          <w:szCs w:val="24"/>
        </w:rPr>
      </w:pPr>
      <w:r w:rsidRPr="003242E9">
        <w:rPr>
          <w:rFonts w:cs="Times New Roman"/>
          <w:sz w:val="24"/>
          <w:szCs w:val="24"/>
        </w:rPr>
        <w:t xml:space="preserve">Financial crises are endemic to market economies, and became more frequent in the OECD by decade after the collapse of the Bretton Woods system in 1972. Crises are damaging, and generally leave a permanent scar on output, and hence if they can be avoided at a reasonable cost, it would be worth doing so. Institute staff had been working on the determinants and effects of financial crises for some years before 2008. This work was of value when the team </w:t>
      </w:r>
      <w:r w:rsidRPr="003242E9">
        <w:rPr>
          <w:rFonts w:cs="Times New Roman"/>
          <w:sz w:val="24"/>
          <w:szCs w:val="24"/>
        </w:rPr>
        <w:lastRenderedPageBreak/>
        <w:t xml:space="preserve">used the model and other tools to investigate the causes and responses to the 2007-2008 crisis in a report for the FSA (Barrell et al 2009). </w:t>
      </w:r>
      <w:r w:rsidR="00841606" w:rsidRPr="003242E9">
        <w:rPr>
          <w:rFonts w:cs="Times New Roman"/>
          <w:sz w:val="24"/>
          <w:szCs w:val="24"/>
        </w:rPr>
        <w:t>The analysis linked the effects of crises to the spread between borrowing and lending rates which had been put in place</w:t>
      </w:r>
      <w:r w:rsidR="00AC1D1A" w:rsidRPr="003242E9">
        <w:rPr>
          <w:rFonts w:cs="Times New Roman"/>
          <w:sz w:val="24"/>
          <w:szCs w:val="24"/>
        </w:rPr>
        <w:t xml:space="preserve"> on the model</w:t>
      </w:r>
      <w:r w:rsidR="00841606" w:rsidRPr="003242E9">
        <w:rPr>
          <w:rFonts w:cs="Times New Roman"/>
          <w:sz w:val="24"/>
          <w:szCs w:val="24"/>
        </w:rPr>
        <w:t xml:space="preserve"> before the crisis broke in 2007. A crisis raises risk premia, initially by large amounts, and this reduces investment spending and consumption plans. The policy response of raising </w:t>
      </w:r>
      <w:r w:rsidR="00AC1D1A" w:rsidRPr="003242E9">
        <w:rPr>
          <w:rFonts w:cs="Times New Roman"/>
          <w:sz w:val="24"/>
          <w:szCs w:val="24"/>
        </w:rPr>
        <w:t xml:space="preserve">bank </w:t>
      </w:r>
      <w:r w:rsidR="00841606" w:rsidRPr="003242E9">
        <w:rPr>
          <w:rFonts w:cs="Times New Roman"/>
          <w:sz w:val="24"/>
          <w:szCs w:val="24"/>
        </w:rPr>
        <w:t xml:space="preserve">capital requirements also increases the spread between borrowing and lending rates, and hence a cost benefit analysis can be undertaken as long as it is possible to evaluate the costs of crises and the impacts of increased capital requirements on the probability of them happening. In 2008 this link was not fully understood, but was filled by Institute work. </w:t>
      </w:r>
    </w:p>
    <w:p w:rsidR="00CB216D" w:rsidRPr="003242E9" w:rsidRDefault="00CB216D" w:rsidP="007F017C">
      <w:pPr>
        <w:jc w:val="both"/>
        <w:rPr>
          <w:rFonts w:cs="Times New Roman"/>
          <w:sz w:val="24"/>
          <w:szCs w:val="24"/>
        </w:rPr>
      </w:pPr>
      <w:r w:rsidRPr="003242E9">
        <w:rPr>
          <w:rFonts w:cs="Times New Roman"/>
          <w:sz w:val="24"/>
          <w:szCs w:val="24"/>
        </w:rPr>
        <w:t xml:space="preserve">The work on the causes of crises, summarised in Barrell, Davis, Karima and </w:t>
      </w:r>
      <w:proofErr w:type="spellStart"/>
      <w:r w:rsidRPr="003242E9">
        <w:rPr>
          <w:rFonts w:cs="Times New Roman"/>
          <w:sz w:val="24"/>
          <w:szCs w:val="24"/>
        </w:rPr>
        <w:t>Liadze</w:t>
      </w:r>
      <w:proofErr w:type="spellEnd"/>
      <w:r w:rsidRPr="003242E9">
        <w:rPr>
          <w:rFonts w:cs="Times New Roman"/>
          <w:sz w:val="24"/>
          <w:szCs w:val="24"/>
        </w:rPr>
        <w:t xml:space="preserve"> (2010) was the first empirical paper to show the importance of capital and liquidity as defences against crises, and emphasised the role of house price bubbles as a cause of crises. It did this by focussing on the causes of crises in financially liberalised OECD countries after 1980 rather than trying to find a common cause across many heterogeneous countries and time periods. The results, which were presented at the BIS in Basel, the ECB and the Bank of England, were influential in the policy debate that followed, ad supported the case for strengthening capital buffers. </w:t>
      </w:r>
    </w:p>
    <w:p w:rsidR="00CB216D" w:rsidRPr="003242E9" w:rsidRDefault="00CB216D" w:rsidP="007F017C">
      <w:pPr>
        <w:jc w:val="both"/>
        <w:rPr>
          <w:rFonts w:cs="Times New Roman"/>
          <w:sz w:val="24"/>
          <w:szCs w:val="24"/>
        </w:rPr>
      </w:pPr>
      <w:r w:rsidRPr="003242E9">
        <w:rPr>
          <w:rFonts w:cs="Times New Roman"/>
          <w:sz w:val="24"/>
          <w:szCs w:val="24"/>
        </w:rPr>
        <w:t xml:space="preserve">The Institute model proved useful in evaluating policy responses to the crises as in Barrell, Fic and Holland (2009) and Barrell Fic and </w:t>
      </w:r>
      <w:proofErr w:type="spellStart"/>
      <w:r w:rsidRPr="003242E9">
        <w:rPr>
          <w:rFonts w:cs="Times New Roman"/>
          <w:sz w:val="24"/>
          <w:szCs w:val="24"/>
        </w:rPr>
        <w:t>Liadze</w:t>
      </w:r>
      <w:proofErr w:type="spellEnd"/>
      <w:r w:rsidRPr="003242E9">
        <w:rPr>
          <w:rFonts w:cs="Times New Roman"/>
          <w:sz w:val="24"/>
          <w:szCs w:val="24"/>
        </w:rPr>
        <w:t xml:space="preserve"> (2009), as it allowed researcher</w:t>
      </w:r>
      <w:r w:rsidR="00B75D65">
        <w:rPr>
          <w:rFonts w:cs="Times New Roman"/>
          <w:sz w:val="24"/>
          <w:szCs w:val="24"/>
        </w:rPr>
        <w:t>s</w:t>
      </w:r>
      <w:r w:rsidRPr="003242E9">
        <w:rPr>
          <w:rFonts w:cs="Times New Roman"/>
          <w:sz w:val="24"/>
          <w:szCs w:val="24"/>
        </w:rPr>
        <w:t xml:space="preserve"> to assume the world in a crisis would display different, and more backward looking, behaviour than it would in normal times. The existence of an empirically justifiable, but flexible description of the world embedded in to a framework such as </w:t>
      </w:r>
      <w:proofErr w:type="spellStart"/>
      <w:r w:rsidRPr="003242E9">
        <w:rPr>
          <w:rFonts w:cs="Times New Roman"/>
          <w:sz w:val="24"/>
          <w:szCs w:val="24"/>
        </w:rPr>
        <w:t>NiGEM</w:t>
      </w:r>
      <w:proofErr w:type="spellEnd"/>
      <w:r w:rsidRPr="003242E9">
        <w:rPr>
          <w:rFonts w:cs="Times New Roman"/>
          <w:sz w:val="24"/>
          <w:szCs w:val="24"/>
        </w:rPr>
        <w:t xml:space="preserve"> allowed the Institute to contribute in Barrell and Holland (2010) rapidly to the debate on completely new measures, such a quantitative easing. Policy analysis is at the centre of macro modelling, and models must be maintained to deal with new policy problems. </w:t>
      </w:r>
    </w:p>
    <w:p w:rsidR="00CB216D" w:rsidRDefault="00B75D65" w:rsidP="003F7C6D">
      <w:pPr>
        <w:jc w:val="both"/>
        <w:rPr>
          <w:rFonts w:cs="Times New Roman"/>
          <w:sz w:val="24"/>
          <w:szCs w:val="24"/>
        </w:rPr>
      </w:pPr>
      <w:r>
        <w:rPr>
          <w:rFonts w:cs="Times New Roman"/>
          <w:sz w:val="24"/>
          <w:szCs w:val="24"/>
        </w:rPr>
        <w:t xml:space="preserve">More recent work by </w:t>
      </w:r>
      <w:r w:rsidR="001544AE">
        <w:rPr>
          <w:rFonts w:cs="Times New Roman"/>
          <w:sz w:val="24"/>
          <w:szCs w:val="24"/>
        </w:rPr>
        <w:t xml:space="preserve">Carreras et al </w:t>
      </w:r>
      <w:r>
        <w:rPr>
          <w:rFonts w:cs="Times New Roman"/>
          <w:sz w:val="24"/>
          <w:szCs w:val="24"/>
        </w:rPr>
        <w:t>(2018) has shown how the model may be used to analyse the effects of the introduction macroprudential indicators.</w:t>
      </w:r>
    </w:p>
    <w:p w:rsidR="00F71043" w:rsidRDefault="00337440" w:rsidP="00AE3A57">
      <w:pPr>
        <w:jc w:val="both"/>
        <w:rPr>
          <w:rFonts w:cs="Times New Roman"/>
          <w:sz w:val="24"/>
          <w:szCs w:val="24"/>
        </w:rPr>
      </w:pPr>
      <w:r w:rsidRPr="003242E9">
        <w:rPr>
          <w:rFonts w:cs="Times New Roman"/>
          <w:sz w:val="24"/>
          <w:szCs w:val="24"/>
        </w:rPr>
        <w:t>In recent years forecast uncertainty has been depicted in the publication of often wide ‘fan charts’ for key variables of interest.  The aim is to give an indication of the probability distribution</w:t>
      </w:r>
      <w:r>
        <w:rPr>
          <w:rFonts w:cs="Times New Roman"/>
          <w:sz w:val="24"/>
          <w:szCs w:val="24"/>
        </w:rPr>
        <w:t xml:space="preserve"> of possible outcomes</w:t>
      </w:r>
      <w:r w:rsidR="00B75D65">
        <w:rPr>
          <w:rFonts w:cs="Times New Roman"/>
          <w:sz w:val="24"/>
          <w:szCs w:val="24"/>
        </w:rPr>
        <w:t xml:space="preserve"> rather than over-emphasising the point forecasts.</w:t>
      </w:r>
      <w:r w:rsidR="00CE4393">
        <w:rPr>
          <w:rFonts w:cs="Times New Roman"/>
          <w:sz w:val="24"/>
          <w:szCs w:val="24"/>
        </w:rPr>
        <w:t xml:space="preserve">  </w:t>
      </w:r>
      <w:r w:rsidR="00B75D65" w:rsidRPr="003242E9">
        <w:rPr>
          <w:rFonts w:cs="Times New Roman"/>
          <w:sz w:val="24"/>
          <w:szCs w:val="24"/>
        </w:rPr>
        <w:t xml:space="preserve"> </w:t>
      </w:r>
      <w:r w:rsidR="00AE3A57">
        <w:rPr>
          <w:rFonts w:cs="Times New Roman"/>
          <w:sz w:val="24"/>
          <w:szCs w:val="24"/>
        </w:rPr>
        <w:t>But how reliable is this as an indicator of the unreliability of forecasts? The last published analysis of the Institute density forecasts for inflation i</w:t>
      </w:r>
      <w:r w:rsidR="00696726">
        <w:rPr>
          <w:rFonts w:cs="Times New Roman"/>
          <w:sz w:val="24"/>
          <w:szCs w:val="24"/>
        </w:rPr>
        <w:t>s</w:t>
      </w:r>
      <w:r w:rsidR="00AE3A57">
        <w:rPr>
          <w:rFonts w:cs="Times New Roman"/>
          <w:sz w:val="24"/>
          <w:szCs w:val="24"/>
        </w:rPr>
        <w:t xml:space="preserve"> Mitchell (2005).  This found that for the first ten years of use, the Institute </w:t>
      </w:r>
      <w:r w:rsidR="00AE3A57" w:rsidRPr="00AE3A57">
        <w:rPr>
          <w:rFonts w:cs="Times New Roman"/>
          <w:sz w:val="24"/>
          <w:szCs w:val="24"/>
        </w:rPr>
        <w:t>over-estimated the degree of forecast uncertainty</w:t>
      </w:r>
      <w:r w:rsidR="00AE3A57">
        <w:rPr>
          <w:rFonts w:cs="Times New Roman"/>
          <w:sz w:val="24"/>
          <w:szCs w:val="24"/>
        </w:rPr>
        <w:t xml:space="preserve">.  This no doubt partly reflects the unusual stability of that period and the lack of large shocks.  </w:t>
      </w:r>
    </w:p>
    <w:p w:rsidR="00696726" w:rsidRDefault="00696726" w:rsidP="00AE3A57">
      <w:pPr>
        <w:jc w:val="both"/>
        <w:rPr>
          <w:rFonts w:cs="Times New Roman"/>
          <w:sz w:val="24"/>
          <w:szCs w:val="24"/>
        </w:rPr>
      </w:pPr>
    </w:p>
    <w:p w:rsidR="00577D0C" w:rsidRDefault="00F95FF0" w:rsidP="003F7C6D">
      <w:pPr>
        <w:pStyle w:val="ListParagraph"/>
        <w:numPr>
          <w:ilvl w:val="0"/>
          <w:numId w:val="1"/>
        </w:numPr>
        <w:jc w:val="both"/>
        <w:rPr>
          <w:rFonts w:cs="Times New Roman"/>
          <w:sz w:val="24"/>
          <w:szCs w:val="24"/>
        </w:rPr>
      </w:pPr>
      <w:r w:rsidRPr="003242E9">
        <w:rPr>
          <w:rFonts w:cs="Times New Roman"/>
          <w:sz w:val="24"/>
          <w:szCs w:val="24"/>
        </w:rPr>
        <w:t>Conclusion</w:t>
      </w:r>
    </w:p>
    <w:p w:rsidR="00696726" w:rsidRDefault="00696726" w:rsidP="003242E9">
      <w:pPr>
        <w:jc w:val="both"/>
        <w:rPr>
          <w:rFonts w:cs="Times New Roman"/>
          <w:sz w:val="24"/>
          <w:szCs w:val="24"/>
        </w:rPr>
      </w:pPr>
      <w:r>
        <w:rPr>
          <w:rFonts w:cs="Times New Roman"/>
          <w:sz w:val="24"/>
          <w:szCs w:val="24"/>
        </w:rPr>
        <w:t xml:space="preserve">This article has described some of the developments in macroeconomic modelling at the Institute, focusing mainly on the last thirty years.  Looking back over this period there are broadly </w:t>
      </w:r>
      <w:r w:rsidR="00A0243D">
        <w:rPr>
          <w:rFonts w:cs="Times New Roman"/>
          <w:sz w:val="24"/>
          <w:szCs w:val="24"/>
        </w:rPr>
        <w:t xml:space="preserve">four </w:t>
      </w:r>
      <w:r>
        <w:rPr>
          <w:rFonts w:cs="Times New Roman"/>
          <w:sz w:val="24"/>
          <w:szCs w:val="24"/>
        </w:rPr>
        <w:t>main developments</w:t>
      </w:r>
      <w:r w:rsidR="00A0243D">
        <w:rPr>
          <w:rFonts w:cs="Times New Roman"/>
          <w:sz w:val="24"/>
          <w:szCs w:val="24"/>
        </w:rPr>
        <w:t xml:space="preserve"> that mirror changes in the economics profession more generally. </w:t>
      </w:r>
    </w:p>
    <w:p w:rsidR="003242E9" w:rsidRDefault="00696726" w:rsidP="003242E9">
      <w:pPr>
        <w:jc w:val="both"/>
        <w:rPr>
          <w:rFonts w:cs="Times New Roman"/>
          <w:sz w:val="24"/>
          <w:szCs w:val="24"/>
        </w:rPr>
      </w:pPr>
      <w:r>
        <w:rPr>
          <w:rFonts w:cs="Times New Roman"/>
          <w:sz w:val="24"/>
          <w:szCs w:val="24"/>
        </w:rPr>
        <w:lastRenderedPageBreak/>
        <w:t>First, an increase in emphasis on the theoretical underpinning of the behavioural relationships in the model</w:t>
      </w:r>
      <w:r w:rsidR="00A0243D">
        <w:rPr>
          <w:rFonts w:cs="Times New Roman"/>
          <w:sz w:val="24"/>
          <w:szCs w:val="24"/>
        </w:rPr>
        <w:t xml:space="preserve">, particularly as regards the supply-side and long-run behaviour of the </w:t>
      </w:r>
      <w:r w:rsidR="002B6D39">
        <w:rPr>
          <w:rFonts w:cs="Times New Roman"/>
          <w:sz w:val="24"/>
          <w:szCs w:val="24"/>
        </w:rPr>
        <w:t>economy</w:t>
      </w:r>
      <w:r w:rsidR="00A0243D">
        <w:rPr>
          <w:rFonts w:cs="Times New Roman"/>
          <w:sz w:val="24"/>
          <w:szCs w:val="24"/>
        </w:rPr>
        <w:t xml:space="preserve">.  </w:t>
      </w:r>
    </w:p>
    <w:p w:rsidR="00A0243D" w:rsidRDefault="00A0243D" w:rsidP="003242E9">
      <w:pPr>
        <w:jc w:val="both"/>
        <w:rPr>
          <w:rFonts w:cs="Times New Roman"/>
          <w:sz w:val="24"/>
          <w:szCs w:val="24"/>
        </w:rPr>
      </w:pPr>
      <w:r>
        <w:rPr>
          <w:rFonts w:cs="Times New Roman"/>
          <w:sz w:val="24"/>
          <w:szCs w:val="24"/>
        </w:rPr>
        <w:t xml:space="preserve">Second, an increased focus on the world economy.  </w:t>
      </w:r>
      <w:r w:rsidRPr="003242E9">
        <w:rPr>
          <w:rFonts w:cs="Times New Roman"/>
          <w:sz w:val="24"/>
          <w:szCs w:val="24"/>
        </w:rPr>
        <w:t xml:space="preserve">This </w:t>
      </w:r>
      <w:r>
        <w:rPr>
          <w:rFonts w:cs="Times New Roman"/>
          <w:sz w:val="24"/>
          <w:szCs w:val="24"/>
        </w:rPr>
        <w:t xml:space="preserve">has been essential given </w:t>
      </w:r>
      <w:r w:rsidRPr="003242E9">
        <w:rPr>
          <w:rFonts w:cs="Times New Roman"/>
          <w:sz w:val="24"/>
          <w:szCs w:val="24"/>
        </w:rPr>
        <w:t>the increasing openness of the UK economy and the importance of understanding globalisation and its impacts.</w:t>
      </w:r>
      <w:r>
        <w:rPr>
          <w:rFonts w:cs="Times New Roman"/>
          <w:sz w:val="24"/>
          <w:szCs w:val="24"/>
        </w:rPr>
        <w:t xml:space="preserve">  This has also been crucial in helping to finance the Institute’s macroeconomic modelling work.</w:t>
      </w:r>
    </w:p>
    <w:p w:rsidR="00AA4488" w:rsidRDefault="00A0243D" w:rsidP="003242E9">
      <w:pPr>
        <w:jc w:val="both"/>
        <w:rPr>
          <w:rFonts w:cs="Times New Roman"/>
          <w:sz w:val="24"/>
          <w:szCs w:val="24"/>
        </w:rPr>
      </w:pPr>
      <w:r>
        <w:rPr>
          <w:rFonts w:cs="Times New Roman"/>
          <w:sz w:val="24"/>
          <w:szCs w:val="24"/>
        </w:rPr>
        <w:t xml:space="preserve">Third, an increase in focus on policy frameworks rather than specific policy measures.  Institute work has shown how </w:t>
      </w:r>
      <w:r w:rsidR="00AA4488">
        <w:rPr>
          <w:rFonts w:cs="Times New Roman"/>
          <w:sz w:val="24"/>
          <w:szCs w:val="24"/>
        </w:rPr>
        <w:t xml:space="preserve">changes in the policy framework with regards to monetary, fiscal and macroprudential policy can make a difference to </w:t>
      </w:r>
      <w:r>
        <w:rPr>
          <w:rFonts w:cs="Times New Roman"/>
          <w:sz w:val="24"/>
          <w:szCs w:val="24"/>
        </w:rPr>
        <w:t xml:space="preserve">the </w:t>
      </w:r>
      <w:r w:rsidR="00AA4488">
        <w:rPr>
          <w:rFonts w:cs="Times New Roman"/>
          <w:sz w:val="24"/>
          <w:szCs w:val="24"/>
        </w:rPr>
        <w:t xml:space="preserve">volatility of the overall economy.  </w:t>
      </w:r>
    </w:p>
    <w:p w:rsidR="00D928AA" w:rsidRDefault="00AA4488" w:rsidP="003242E9">
      <w:pPr>
        <w:jc w:val="both"/>
        <w:rPr>
          <w:rFonts w:cs="Times New Roman"/>
          <w:sz w:val="24"/>
          <w:szCs w:val="24"/>
        </w:rPr>
      </w:pPr>
      <w:r w:rsidRPr="00D928AA">
        <w:rPr>
          <w:rFonts w:cstheme="minorHAnsi"/>
          <w:sz w:val="24"/>
          <w:szCs w:val="24"/>
        </w:rPr>
        <w:t xml:space="preserve">Fourth, there is a greater emphasis on the </w:t>
      </w:r>
      <w:r w:rsidR="00A0243D" w:rsidRPr="00D928AA">
        <w:rPr>
          <w:rFonts w:cstheme="minorHAnsi"/>
          <w:sz w:val="24"/>
          <w:szCs w:val="24"/>
        </w:rPr>
        <w:t xml:space="preserve">uncertainty </w:t>
      </w:r>
      <w:r w:rsidRPr="00D928AA">
        <w:rPr>
          <w:rFonts w:cstheme="minorHAnsi"/>
          <w:sz w:val="24"/>
          <w:szCs w:val="24"/>
        </w:rPr>
        <w:t xml:space="preserve">around </w:t>
      </w:r>
      <w:r w:rsidR="00A0243D" w:rsidRPr="00D928AA">
        <w:rPr>
          <w:rFonts w:cstheme="minorHAnsi"/>
          <w:sz w:val="24"/>
          <w:szCs w:val="24"/>
        </w:rPr>
        <w:t xml:space="preserve">forecasts and how this can be characterised.  </w:t>
      </w:r>
      <w:r w:rsidRPr="00D928AA">
        <w:rPr>
          <w:rFonts w:cstheme="minorHAnsi"/>
          <w:sz w:val="24"/>
          <w:szCs w:val="24"/>
        </w:rPr>
        <w:t xml:space="preserve">There is a danger that </w:t>
      </w:r>
      <w:r w:rsidR="002B6D39">
        <w:rPr>
          <w:rFonts w:cstheme="minorHAnsi"/>
          <w:sz w:val="24"/>
          <w:szCs w:val="24"/>
        </w:rPr>
        <w:t xml:space="preserve">focusing on the risks </w:t>
      </w:r>
      <w:r w:rsidRPr="00D928AA">
        <w:rPr>
          <w:rFonts w:cstheme="minorHAnsi"/>
          <w:sz w:val="24"/>
          <w:szCs w:val="24"/>
        </w:rPr>
        <w:t xml:space="preserve">can be misconstrued as suggesting that the </w:t>
      </w:r>
      <w:r w:rsidR="00D928AA" w:rsidRPr="00D928AA">
        <w:rPr>
          <w:rFonts w:cstheme="minorHAnsi"/>
          <w:sz w:val="24"/>
          <w:szCs w:val="24"/>
        </w:rPr>
        <w:t xml:space="preserve">Institute </w:t>
      </w:r>
      <w:r w:rsidRPr="00D928AA">
        <w:rPr>
          <w:rFonts w:cstheme="minorHAnsi"/>
          <w:sz w:val="24"/>
          <w:szCs w:val="24"/>
        </w:rPr>
        <w:t>does not have a clue about the future.  Th</w:t>
      </w:r>
      <w:r w:rsidR="00D928AA" w:rsidRPr="00D928AA">
        <w:rPr>
          <w:rFonts w:cstheme="minorHAnsi"/>
          <w:sz w:val="24"/>
          <w:szCs w:val="24"/>
        </w:rPr>
        <w:t>at</w:t>
      </w:r>
      <w:r w:rsidRPr="00D928AA">
        <w:rPr>
          <w:rFonts w:cstheme="minorHAnsi"/>
          <w:sz w:val="24"/>
          <w:szCs w:val="24"/>
        </w:rPr>
        <w:t xml:space="preserve"> is not true.  </w:t>
      </w:r>
      <w:r w:rsidR="00D928AA" w:rsidRPr="00D928AA">
        <w:rPr>
          <w:rFonts w:cstheme="minorHAnsi"/>
          <w:sz w:val="24"/>
          <w:szCs w:val="24"/>
        </w:rPr>
        <w:t xml:space="preserve">Many outcomes are possible and to focus on only one, other than as a narrative around the central case, is misleading.  </w:t>
      </w:r>
      <w:r w:rsidRPr="00D928AA">
        <w:rPr>
          <w:rFonts w:cstheme="minorHAnsi"/>
          <w:sz w:val="24"/>
          <w:szCs w:val="24"/>
        </w:rPr>
        <w:t xml:space="preserve">By presenting </w:t>
      </w:r>
      <w:r w:rsidRPr="00D928AA">
        <w:rPr>
          <w:rFonts w:cstheme="minorHAnsi"/>
          <w:sz w:val="24"/>
          <w:szCs w:val="24"/>
        </w:rPr>
        <w:t>forecasts</w:t>
      </w:r>
      <w:r w:rsidRPr="00D928AA">
        <w:rPr>
          <w:rFonts w:cstheme="minorHAnsi"/>
          <w:sz w:val="24"/>
          <w:szCs w:val="24"/>
        </w:rPr>
        <w:t xml:space="preserve"> as </w:t>
      </w:r>
      <w:r w:rsidR="00D928AA" w:rsidRPr="00D928AA">
        <w:rPr>
          <w:rFonts w:cstheme="minorHAnsi"/>
          <w:sz w:val="24"/>
          <w:szCs w:val="24"/>
        </w:rPr>
        <w:t>a probability distribution, the Institute is setting out the odds of po</w:t>
      </w:r>
      <w:r w:rsidR="002B6D39">
        <w:rPr>
          <w:rFonts w:cstheme="minorHAnsi"/>
          <w:sz w:val="24"/>
          <w:szCs w:val="24"/>
        </w:rPr>
        <w:t xml:space="preserve">ssible </w:t>
      </w:r>
      <w:r w:rsidR="00D928AA" w:rsidRPr="00D928AA">
        <w:rPr>
          <w:rFonts w:cstheme="minorHAnsi"/>
          <w:sz w:val="24"/>
          <w:szCs w:val="24"/>
        </w:rPr>
        <w:t>futures in a similar way to a bookmaker setting out the odds of a race.  The forecast then provides ‘</w:t>
      </w:r>
      <w:r w:rsidR="00D928AA" w:rsidRPr="00D928AA">
        <w:rPr>
          <w:rFonts w:cstheme="minorHAnsi"/>
          <w:color w:val="333333"/>
          <w:sz w:val="24"/>
          <w:szCs w:val="24"/>
          <w:shd w:val="clear" w:color="auto" w:fill="FFFFFF"/>
        </w:rPr>
        <w:t>a scenario or set of scenarios to evaluate</w:t>
      </w:r>
      <w:r w:rsidR="00D928AA" w:rsidRPr="00D928AA">
        <w:rPr>
          <w:rFonts w:cstheme="minorHAnsi"/>
          <w:color w:val="333333"/>
          <w:sz w:val="24"/>
          <w:szCs w:val="24"/>
          <w:shd w:val="clear" w:color="auto" w:fill="FFFFFF"/>
        </w:rPr>
        <w:t xml:space="preserve">, </w:t>
      </w:r>
      <w:r w:rsidR="00D928AA" w:rsidRPr="00D928AA">
        <w:rPr>
          <w:rFonts w:cstheme="minorHAnsi"/>
          <w:color w:val="333333"/>
          <w:sz w:val="24"/>
          <w:szCs w:val="24"/>
          <w:shd w:val="clear" w:color="auto" w:fill="FFFFFF"/>
        </w:rPr>
        <w:t>to think about and discuss</w:t>
      </w:r>
      <w:r w:rsidR="00D928AA" w:rsidRPr="00D928AA">
        <w:rPr>
          <w:rFonts w:cstheme="minorHAnsi"/>
          <w:color w:val="333333"/>
          <w:sz w:val="24"/>
          <w:szCs w:val="24"/>
          <w:shd w:val="clear" w:color="auto" w:fill="FFFFFF"/>
        </w:rPr>
        <w:t>’ (Chadha, 2017)</w:t>
      </w:r>
      <w:r w:rsidR="00D928AA" w:rsidRPr="00D928AA">
        <w:rPr>
          <w:rFonts w:cstheme="minorHAnsi"/>
          <w:color w:val="333333"/>
          <w:sz w:val="24"/>
          <w:szCs w:val="24"/>
          <w:shd w:val="clear" w:color="auto" w:fill="FFFFFF"/>
        </w:rPr>
        <w:t xml:space="preserve">. </w:t>
      </w:r>
      <w:r w:rsidR="002B6D39">
        <w:rPr>
          <w:rFonts w:cstheme="minorHAnsi"/>
          <w:color w:val="333333"/>
          <w:sz w:val="24"/>
          <w:szCs w:val="24"/>
          <w:shd w:val="clear" w:color="auto" w:fill="FFFFFF"/>
        </w:rPr>
        <w:t xml:space="preserve"> That then provides a platform for</w:t>
      </w:r>
      <w:r w:rsidR="00D928AA" w:rsidRPr="00D928AA">
        <w:rPr>
          <w:rFonts w:cstheme="minorHAnsi"/>
          <w:color w:val="333333"/>
          <w:sz w:val="24"/>
          <w:szCs w:val="24"/>
          <w:shd w:val="clear" w:color="auto" w:fill="FFFFFF"/>
        </w:rPr>
        <w:t xml:space="preserve"> think</w:t>
      </w:r>
      <w:r w:rsidR="002B6D39">
        <w:rPr>
          <w:rFonts w:cstheme="minorHAnsi"/>
          <w:color w:val="333333"/>
          <w:sz w:val="24"/>
          <w:szCs w:val="24"/>
          <w:shd w:val="clear" w:color="auto" w:fill="FFFFFF"/>
        </w:rPr>
        <w:t>ing</w:t>
      </w:r>
      <w:r w:rsidR="00D928AA" w:rsidRPr="00D928AA">
        <w:rPr>
          <w:rFonts w:cstheme="minorHAnsi"/>
          <w:color w:val="333333"/>
          <w:sz w:val="24"/>
          <w:szCs w:val="24"/>
          <w:shd w:val="clear" w:color="auto" w:fill="FFFFFF"/>
        </w:rPr>
        <w:t xml:space="preserve"> about possible futures and </w:t>
      </w:r>
      <w:r w:rsidR="002B6D39">
        <w:rPr>
          <w:rFonts w:cstheme="minorHAnsi"/>
          <w:color w:val="333333"/>
          <w:sz w:val="24"/>
          <w:szCs w:val="24"/>
          <w:shd w:val="clear" w:color="auto" w:fill="FFFFFF"/>
        </w:rPr>
        <w:t xml:space="preserve">how they can be influenced by policy changes.  In so doing the Institute remains true to its mission </w:t>
      </w:r>
      <w:r w:rsidR="002B6D39" w:rsidRPr="003242E9">
        <w:rPr>
          <w:rFonts w:cs="Times New Roman"/>
          <w:sz w:val="24"/>
          <w:szCs w:val="24"/>
        </w:rPr>
        <w:t>to ‘</w:t>
      </w:r>
      <w:r w:rsidR="002B6D39" w:rsidRPr="003242E9">
        <w:rPr>
          <w:rFonts w:cs="Times New Roman"/>
          <w:sz w:val="24"/>
          <w:szCs w:val="24"/>
          <w:shd w:val="clear" w:color="auto" w:fill="FFFFFF"/>
        </w:rPr>
        <w:t xml:space="preserve">carry out research into the economic and social forces that affect people’s lives and to improve the understanding of those forces and the ways in which policy can bring about change’.  </w:t>
      </w:r>
    </w:p>
    <w:p w:rsidR="00696726" w:rsidRDefault="00696726" w:rsidP="002B6D39">
      <w:pPr>
        <w:rPr>
          <w:rFonts w:cs="Times New Roman"/>
          <w:sz w:val="24"/>
          <w:szCs w:val="24"/>
        </w:rPr>
      </w:pPr>
      <w:r>
        <w:rPr>
          <w:rFonts w:cs="Times New Roman"/>
          <w:sz w:val="24"/>
          <w:szCs w:val="24"/>
        </w:rPr>
        <w:br w:type="page"/>
      </w:r>
      <w:r>
        <w:rPr>
          <w:rFonts w:cs="Times New Roman"/>
          <w:sz w:val="24"/>
          <w:szCs w:val="24"/>
        </w:rPr>
        <w:lastRenderedPageBreak/>
        <w:t>References</w:t>
      </w:r>
    </w:p>
    <w:p w:rsidR="00B2334B" w:rsidRDefault="00B2334B" w:rsidP="00B2334B">
      <w:pPr>
        <w:ind w:left="720" w:hanging="720"/>
        <w:rPr>
          <w:rFonts w:cs="Times New Roman"/>
          <w:sz w:val="24"/>
          <w:szCs w:val="24"/>
        </w:rPr>
      </w:pPr>
      <w:r w:rsidRPr="00B2334B">
        <w:rPr>
          <w:rFonts w:cs="Times New Roman"/>
          <w:sz w:val="24"/>
          <w:szCs w:val="24"/>
        </w:rPr>
        <w:t xml:space="preserve">Anderton, R., and Barrell, R. (1995), ‘The ERM and Structural Change in European Labour Markets: A study of 10 countries’, </w:t>
      </w:r>
      <w:proofErr w:type="spellStart"/>
      <w:r w:rsidRPr="00B2334B">
        <w:rPr>
          <w:rFonts w:cs="Times New Roman"/>
          <w:i/>
          <w:sz w:val="24"/>
          <w:szCs w:val="24"/>
        </w:rPr>
        <w:t>Weltwirtschaftliches</w:t>
      </w:r>
      <w:proofErr w:type="spellEnd"/>
      <w:r w:rsidRPr="00B2334B">
        <w:rPr>
          <w:rFonts w:cs="Times New Roman"/>
          <w:i/>
          <w:sz w:val="24"/>
          <w:szCs w:val="24"/>
        </w:rPr>
        <w:t xml:space="preserve"> </w:t>
      </w:r>
      <w:proofErr w:type="spellStart"/>
      <w:r w:rsidRPr="00B2334B">
        <w:rPr>
          <w:rFonts w:cs="Times New Roman"/>
          <w:i/>
          <w:sz w:val="24"/>
          <w:szCs w:val="24"/>
        </w:rPr>
        <w:t>Archiv</w:t>
      </w:r>
      <w:proofErr w:type="spellEnd"/>
      <w:r w:rsidRPr="00B2334B">
        <w:rPr>
          <w:rFonts w:cs="Times New Roman"/>
          <w:sz w:val="24"/>
          <w:szCs w:val="24"/>
        </w:rPr>
        <w:t>, Band 131, Heft 1.</w:t>
      </w:r>
    </w:p>
    <w:p w:rsidR="001A7C95" w:rsidRDefault="001A7C95" w:rsidP="00B2334B">
      <w:pPr>
        <w:ind w:left="720" w:hanging="720"/>
        <w:rPr>
          <w:rFonts w:cs="Times New Roman"/>
          <w:sz w:val="24"/>
          <w:szCs w:val="24"/>
        </w:rPr>
      </w:pPr>
      <w:r>
        <w:rPr>
          <w:rFonts w:cs="Times New Roman"/>
          <w:sz w:val="24"/>
          <w:szCs w:val="24"/>
        </w:rPr>
        <w:t xml:space="preserve">Armstrong, A. and </w:t>
      </w:r>
      <w:proofErr w:type="spellStart"/>
      <w:r>
        <w:rPr>
          <w:rFonts w:cs="Times New Roman"/>
          <w:sz w:val="24"/>
          <w:szCs w:val="24"/>
        </w:rPr>
        <w:t>Portes</w:t>
      </w:r>
      <w:proofErr w:type="spellEnd"/>
      <w:r>
        <w:rPr>
          <w:rFonts w:cs="Times New Roman"/>
          <w:sz w:val="24"/>
          <w:szCs w:val="24"/>
        </w:rPr>
        <w:t xml:space="preserve">, J. (2016), ‘The economic consequences of leaving the EU’, </w:t>
      </w:r>
      <w:r w:rsidRPr="001A7C95">
        <w:rPr>
          <w:rFonts w:cs="Times New Roman"/>
          <w:i/>
          <w:sz w:val="24"/>
          <w:szCs w:val="24"/>
        </w:rPr>
        <w:t>National Institute Economic Review</w:t>
      </w:r>
      <w:r w:rsidRPr="001A7C95">
        <w:rPr>
          <w:rFonts w:cs="Times New Roman"/>
          <w:sz w:val="24"/>
          <w:szCs w:val="24"/>
        </w:rPr>
        <w:t xml:space="preserve"> No. </w:t>
      </w:r>
      <w:r>
        <w:rPr>
          <w:rFonts w:cs="Times New Roman"/>
          <w:sz w:val="24"/>
          <w:szCs w:val="24"/>
        </w:rPr>
        <w:t>236</w:t>
      </w:r>
      <w:r w:rsidRPr="001A7C95">
        <w:rPr>
          <w:rFonts w:cs="Times New Roman"/>
          <w:sz w:val="24"/>
          <w:szCs w:val="24"/>
        </w:rPr>
        <w:t xml:space="preserve">, </w:t>
      </w:r>
      <w:r>
        <w:rPr>
          <w:rFonts w:cs="Times New Roman"/>
          <w:sz w:val="24"/>
          <w:szCs w:val="24"/>
        </w:rPr>
        <w:t>May 2016, pp. 2 – 6.</w:t>
      </w:r>
    </w:p>
    <w:p w:rsidR="00D558C2" w:rsidRPr="00D558C2" w:rsidRDefault="00D558C2" w:rsidP="00D558C2">
      <w:pPr>
        <w:ind w:left="720" w:hanging="720"/>
        <w:rPr>
          <w:rFonts w:cstheme="minorHAnsi"/>
          <w:sz w:val="24"/>
          <w:szCs w:val="24"/>
        </w:rPr>
      </w:pPr>
      <w:r w:rsidRPr="00D558C2">
        <w:rPr>
          <w:rFonts w:cstheme="minorHAnsi"/>
          <w:sz w:val="24"/>
          <w:szCs w:val="24"/>
        </w:rPr>
        <w:t>Barrell, R., (2003)</w:t>
      </w:r>
      <w:r w:rsidR="006F1CFE">
        <w:rPr>
          <w:rFonts w:cstheme="minorHAnsi"/>
          <w:sz w:val="24"/>
          <w:szCs w:val="24"/>
        </w:rPr>
        <w:t>,</w:t>
      </w:r>
      <w:r w:rsidRPr="00D558C2">
        <w:rPr>
          <w:rFonts w:cstheme="minorHAnsi"/>
          <w:sz w:val="24"/>
          <w:szCs w:val="24"/>
        </w:rPr>
        <w:t xml:space="preserve"> ‘Monetary and Fiscal Frameworks in Europe- Assessing and Choosing Monetary and Fiscal Policy Rules.’ </w:t>
      </w:r>
      <w:r w:rsidRPr="00D558C2">
        <w:rPr>
          <w:rFonts w:cstheme="minorHAnsi"/>
          <w:i/>
          <w:sz w:val="24"/>
          <w:szCs w:val="24"/>
        </w:rPr>
        <w:t>Submissions on EMU from leading academics</w:t>
      </w:r>
      <w:r w:rsidRPr="00D558C2">
        <w:rPr>
          <w:rFonts w:cstheme="minorHAnsi"/>
          <w:sz w:val="24"/>
          <w:szCs w:val="24"/>
        </w:rPr>
        <w:t>. HM Treasury EMU Assessment Exercise. June 2003 pp 3-14.</w:t>
      </w:r>
    </w:p>
    <w:p w:rsidR="00D558C2" w:rsidRDefault="00D558C2" w:rsidP="00D558C2">
      <w:pPr>
        <w:ind w:left="720" w:hanging="720"/>
        <w:rPr>
          <w:rFonts w:cs="Times New Roman"/>
          <w:sz w:val="24"/>
          <w:szCs w:val="24"/>
        </w:rPr>
      </w:pPr>
      <w:r w:rsidRPr="00862A9D">
        <w:rPr>
          <w:rStyle w:val="style211"/>
          <w:rFonts w:cs="Times New Roman"/>
          <w:sz w:val="24"/>
          <w:szCs w:val="24"/>
        </w:rPr>
        <w:t>Barrell</w:t>
      </w:r>
      <w:r w:rsidR="006F1CFE">
        <w:rPr>
          <w:rStyle w:val="style211"/>
          <w:rFonts w:cs="Times New Roman"/>
          <w:sz w:val="24"/>
          <w:szCs w:val="24"/>
        </w:rPr>
        <w:t>,</w:t>
      </w:r>
      <w:r w:rsidRPr="00862A9D">
        <w:rPr>
          <w:rStyle w:val="style211"/>
          <w:rFonts w:cs="Times New Roman"/>
          <w:sz w:val="24"/>
          <w:szCs w:val="24"/>
        </w:rPr>
        <w:t xml:space="preserve"> R., (2011)</w:t>
      </w:r>
      <w:r w:rsidR="006F1CFE">
        <w:rPr>
          <w:rStyle w:val="style211"/>
          <w:rFonts w:cs="Times New Roman"/>
          <w:sz w:val="24"/>
          <w:szCs w:val="24"/>
        </w:rPr>
        <w:t>,</w:t>
      </w:r>
      <w:r w:rsidRPr="00862A9D">
        <w:rPr>
          <w:rFonts w:cs="Times New Roman"/>
          <w:sz w:val="24"/>
          <w:szCs w:val="24"/>
        </w:rPr>
        <w:t xml:space="preserve"> ‘Long-Term Fiscal Prospects and Aging in the OECD’</w:t>
      </w:r>
      <w:r w:rsidR="006F1CFE">
        <w:rPr>
          <w:rFonts w:cs="Times New Roman"/>
          <w:sz w:val="24"/>
          <w:szCs w:val="24"/>
        </w:rPr>
        <w:t>,</w:t>
      </w:r>
      <w:r w:rsidRPr="00862A9D">
        <w:rPr>
          <w:rFonts w:cs="Times New Roman"/>
          <w:sz w:val="24"/>
          <w:szCs w:val="24"/>
        </w:rPr>
        <w:t xml:space="preserve"> </w:t>
      </w:r>
      <w:r w:rsidRPr="00862A9D">
        <w:rPr>
          <w:rFonts w:cs="Times New Roman"/>
          <w:i/>
          <w:sz w:val="24"/>
          <w:szCs w:val="24"/>
        </w:rPr>
        <w:t>Bank for International Settlements Working Paper 3672</w:t>
      </w:r>
      <w:r>
        <w:rPr>
          <w:rFonts w:cs="Times New Roman"/>
          <w:sz w:val="24"/>
          <w:szCs w:val="24"/>
        </w:rPr>
        <w:t>.</w:t>
      </w:r>
    </w:p>
    <w:p w:rsidR="00D558C2" w:rsidRDefault="00D558C2" w:rsidP="00D558C2">
      <w:pPr>
        <w:ind w:left="720" w:hanging="720"/>
        <w:rPr>
          <w:rFonts w:cs="Times New Roman"/>
          <w:sz w:val="24"/>
          <w:szCs w:val="24"/>
        </w:rPr>
      </w:pPr>
      <w:r w:rsidRPr="00D558C2">
        <w:rPr>
          <w:rFonts w:cs="Times New Roman"/>
          <w:sz w:val="24"/>
          <w:szCs w:val="24"/>
        </w:rPr>
        <w:t xml:space="preserve">Barrell, R., Becker, B., Byrne, J., Gottschalk. S., Hurst, I., and van </w:t>
      </w:r>
      <w:proofErr w:type="spellStart"/>
      <w:r w:rsidRPr="00D558C2">
        <w:rPr>
          <w:rFonts w:cs="Times New Roman"/>
          <w:sz w:val="24"/>
          <w:szCs w:val="24"/>
        </w:rPr>
        <w:t>Welsum</w:t>
      </w:r>
      <w:proofErr w:type="spellEnd"/>
      <w:r w:rsidRPr="00D558C2">
        <w:rPr>
          <w:rFonts w:cs="Times New Roman"/>
          <w:sz w:val="24"/>
          <w:szCs w:val="24"/>
        </w:rPr>
        <w:t>, D., (2004)</w:t>
      </w:r>
      <w:r w:rsidR="006F1CFE">
        <w:rPr>
          <w:rFonts w:cs="Times New Roman"/>
          <w:sz w:val="24"/>
          <w:szCs w:val="24"/>
        </w:rPr>
        <w:t>,</w:t>
      </w:r>
      <w:r w:rsidRPr="00D558C2">
        <w:rPr>
          <w:rFonts w:cs="Times New Roman"/>
          <w:sz w:val="24"/>
          <w:szCs w:val="24"/>
        </w:rPr>
        <w:t xml:space="preserve"> ‘Macroeconomic Policy in Europe: Experiments with monetary responses and fiscal impulses’</w:t>
      </w:r>
      <w:r w:rsidR="006F1CFE">
        <w:rPr>
          <w:rFonts w:cs="Times New Roman"/>
          <w:sz w:val="24"/>
          <w:szCs w:val="24"/>
        </w:rPr>
        <w:t>,</w:t>
      </w:r>
      <w:r w:rsidRPr="00D558C2">
        <w:rPr>
          <w:rFonts w:cs="Times New Roman"/>
          <w:sz w:val="24"/>
          <w:szCs w:val="24"/>
        </w:rPr>
        <w:t xml:space="preserve"> </w:t>
      </w:r>
      <w:r w:rsidRPr="00D558C2">
        <w:rPr>
          <w:rFonts w:cs="Times New Roman"/>
          <w:i/>
          <w:sz w:val="24"/>
          <w:szCs w:val="24"/>
        </w:rPr>
        <w:t>Economic Modelling</w:t>
      </w:r>
      <w:r w:rsidRPr="00D558C2">
        <w:rPr>
          <w:rFonts w:cs="Times New Roman"/>
          <w:sz w:val="24"/>
          <w:szCs w:val="24"/>
        </w:rPr>
        <w:t xml:space="preserve"> vol. 21, pp 877-931</w:t>
      </w:r>
      <w:r w:rsidR="006F1CFE">
        <w:rPr>
          <w:rFonts w:cs="Times New Roman"/>
          <w:sz w:val="24"/>
          <w:szCs w:val="24"/>
        </w:rPr>
        <w:t>.</w:t>
      </w:r>
    </w:p>
    <w:p w:rsidR="00862A9D" w:rsidRDefault="00862A9D" w:rsidP="00862A9D">
      <w:pPr>
        <w:pStyle w:val="Title"/>
        <w:ind w:left="720" w:hanging="720"/>
        <w:jc w:val="both"/>
        <w:rPr>
          <w:rFonts w:asciiTheme="minorHAnsi" w:hAnsiTheme="minorHAnsi"/>
          <w:b w:val="0"/>
          <w:sz w:val="24"/>
          <w:szCs w:val="24"/>
        </w:rPr>
      </w:pPr>
      <w:r w:rsidRPr="00862A9D">
        <w:rPr>
          <w:rFonts w:asciiTheme="minorHAnsi" w:hAnsiTheme="minorHAnsi"/>
          <w:b w:val="0"/>
          <w:sz w:val="24"/>
          <w:szCs w:val="24"/>
        </w:rPr>
        <w:t xml:space="preserve">Barrell, R., Byrne J., and </w:t>
      </w:r>
      <w:proofErr w:type="spellStart"/>
      <w:r w:rsidRPr="00862A9D">
        <w:rPr>
          <w:rFonts w:asciiTheme="minorHAnsi" w:hAnsiTheme="minorHAnsi"/>
          <w:b w:val="0"/>
          <w:sz w:val="24"/>
          <w:szCs w:val="24"/>
        </w:rPr>
        <w:t>Dury</w:t>
      </w:r>
      <w:proofErr w:type="spellEnd"/>
      <w:r w:rsidRPr="00862A9D">
        <w:rPr>
          <w:rFonts w:asciiTheme="minorHAnsi" w:hAnsiTheme="minorHAnsi"/>
          <w:b w:val="0"/>
          <w:sz w:val="24"/>
          <w:szCs w:val="24"/>
        </w:rPr>
        <w:t xml:space="preserve"> K., (2003)</w:t>
      </w:r>
      <w:r w:rsidR="006F1CFE">
        <w:rPr>
          <w:rFonts w:asciiTheme="minorHAnsi" w:hAnsiTheme="minorHAnsi"/>
          <w:b w:val="0"/>
          <w:sz w:val="24"/>
          <w:szCs w:val="24"/>
        </w:rPr>
        <w:t>,</w:t>
      </w:r>
      <w:r w:rsidRPr="00862A9D">
        <w:rPr>
          <w:rFonts w:asciiTheme="minorHAnsi" w:hAnsiTheme="minorHAnsi"/>
          <w:b w:val="0"/>
          <w:sz w:val="24"/>
          <w:szCs w:val="24"/>
        </w:rPr>
        <w:t xml:space="preserve"> ‘The implications of diversity in consumption behaviour for the choice of monetary policy rules in Europe’</w:t>
      </w:r>
      <w:r w:rsidR="006F1CFE">
        <w:rPr>
          <w:rFonts w:asciiTheme="minorHAnsi" w:hAnsiTheme="minorHAnsi"/>
          <w:b w:val="0"/>
          <w:sz w:val="24"/>
          <w:szCs w:val="24"/>
        </w:rPr>
        <w:t>,</w:t>
      </w:r>
      <w:r w:rsidRPr="00862A9D">
        <w:rPr>
          <w:rFonts w:asciiTheme="minorHAnsi" w:hAnsiTheme="minorHAnsi"/>
          <w:b w:val="0"/>
          <w:sz w:val="24"/>
          <w:szCs w:val="24"/>
        </w:rPr>
        <w:t xml:space="preserve"> </w:t>
      </w:r>
      <w:r w:rsidRPr="00862A9D">
        <w:rPr>
          <w:rFonts w:asciiTheme="minorHAnsi" w:hAnsiTheme="minorHAnsi"/>
          <w:b w:val="0"/>
          <w:i/>
          <w:sz w:val="24"/>
          <w:szCs w:val="24"/>
        </w:rPr>
        <w:t xml:space="preserve">Economic </w:t>
      </w:r>
      <w:proofErr w:type="gramStart"/>
      <w:r w:rsidRPr="00862A9D">
        <w:rPr>
          <w:rFonts w:asciiTheme="minorHAnsi" w:hAnsiTheme="minorHAnsi"/>
          <w:b w:val="0"/>
          <w:i/>
          <w:sz w:val="24"/>
          <w:szCs w:val="24"/>
        </w:rPr>
        <w:t xml:space="preserve">Modelling </w:t>
      </w:r>
      <w:r w:rsidRPr="00862A9D">
        <w:rPr>
          <w:rFonts w:asciiTheme="minorHAnsi" w:hAnsiTheme="minorHAnsi"/>
          <w:b w:val="0"/>
          <w:sz w:val="24"/>
          <w:szCs w:val="24"/>
        </w:rPr>
        <w:t>.</w:t>
      </w:r>
      <w:proofErr w:type="gramEnd"/>
      <w:r w:rsidRPr="00862A9D">
        <w:rPr>
          <w:rFonts w:asciiTheme="minorHAnsi" w:hAnsiTheme="minorHAnsi"/>
          <w:b w:val="0"/>
          <w:sz w:val="24"/>
          <w:szCs w:val="24"/>
        </w:rPr>
        <w:t xml:space="preserve"> vol 20 pp 275-299</w:t>
      </w:r>
      <w:r>
        <w:rPr>
          <w:rFonts w:asciiTheme="minorHAnsi" w:hAnsiTheme="minorHAnsi"/>
          <w:b w:val="0"/>
          <w:sz w:val="24"/>
          <w:szCs w:val="24"/>
        </w:rPr>
        <w:t>.</w:t>
      </w:r>
    </w:p>
    <w:p w:rsidR="00862A9D" w:rsidRPr="00862A9D" w:rsidRDefault="00862A9D" w:rsidP="00862A9D">
      <w:pPr>
        <w:ind w:left="720" w:hanging="720"/>
        <w:rPr>
          <w:rFonts w:cs="Times New Roman"/>
          <w:sz w:val="24"/>
          <w:szCs w:val="24"/>
        </w:rPr>
      </w:pPr>
      <w:r w:rsidRPr="00862A9D">
        <w:rPr>
          <w:rFonts w:cs="Times New Roman"/>
          <w:sz w:val="24"/>
          <w:szCs w:val="24"/>
        </w:rPr>
        <w:t>Barrell, R., Davis, P., and Pomerantz, O., (2006)</w:t>
      </w:r>
      <w:r w:rsidR="006F1CFE">
        <w:rPr>
          <w:rFonts w:cs="Times New Roman"/>
          <w:sz w:val="24"/>
          <w:szCs w:val="24"/>
        </w:rPr>
        <w:t>, ‘</w:t>
      </w:r>
      <w:r w:rsidRPr="00862A9D">
        <w:rPr>
          <w:rFonts w:cs="Times New Roman"/>
          <w:sz w:val="24"/>
          <w:szCs w:val="24"/>
        </w:rPr>
        <w:t>Costs of Financial Instability, Household-Sector Balance Sheets and Consumption</w:t>
      </w:r>
      <w:r w:rsidR="006F1CFE">
        <w:rPr>
          <w:rFonts w:cs="Times New Roman"/>
          <w:sz w:val="24"/>
          <w:szCs w:val="24"/>
        </w:rPr>
        <w:t>’</w:t>
      </w:r>
      <w:r w:rsidRPr="00862A9D">
        <w:rPr>
          <w:rFonts w:cs="Times New Roman"/>
          <w:sz w:val="24"/>
          <w:szCs w:val="24"/>
        </w:rPr>
        <w:t xml:space="preserve">, </w:t>
      </w:r>
      <w:r w:rsidRPr="00862A9D">
        <w:rPr>
          <w:rFonts w:cs="Times New Roman"/>
          <w:i/>
          <w:sz w:val="24"/>
          <w:szCs w:val="24"/>
        </w:rPr>
        <w:t>Journal of Financial Stability</w:t>
      </w:r>
      <w:r w:rsidRPr="00862A9D">
        <w:rPr>
          <w:rFonts w:cs="Times New Roman"/>
          <w:sz w:val="24"/>
          <w:szCs w:val="24"/>
        </w:rPr>
        <w:t xml:space="preserve"> Vol. 2, Issue 2, pp 194-216</w:t>
      </w:r>
      <w:r w:rsidR="006F1CFE">
        <w:rPr>
          <w:rFonts w:cs="Times New Roman"/>
          <w:sz w:val="24"/>
          <w:szCs w:val="24"/>
        </w:rPr>
        <w:t>.</w:t>
      </w:r>
    </w:p>
    <w:p w:rsidR="00862A9D" w:rsidRPr="00862A9D" w:rsidRDefault="00862A9D" w:rsidP="00862A9D">
      <w:pPr>
        <w:ind w:left="720" w:hanging="720"/>
        <w:rPr>
          <w:rFonts w:cs="Times New Roman"/>
          <w:sz w:val="24"/>
          <w:szCs w:val="24"/>
        </w:rPr>
      </w:pPr>
      <w:r w:rsidRPr="00862A9D">
        <w:rPr>
          <w:rFonts w:cs="Times New Roman"/>
          <w:sz w:val="24"/>
          <w:szCs w:val="24"/>
        </w:rPr>
        <w:t>Barrell, R., and Davis,</w:t>
      </w:r>
      <w:r w:rsidR="006F1CFE" w:rsidRPr="00862A9D">
        <w:rPr>
          <w:rFonts w:cs="Times New Roman"/>
          <w:sz w:val="24"/>
          <w:szCs w:val="24"/>
        </w:rPr>
        <w:t xml:space="preserve"> </w:t>
      </w:r>
      <w:r w:rsidRPr="00862A9D">
        <w:rPr>
          <w:rFonts w:cs="Times New Roman"/>
          <w:sz w:val="24"/>
          <w:szCs w:val="24"/>
        </w:rPr>
        <w:t>P., (2007)</w:t>
      </w:r>
      <w:r w:rsidR="006F1CFE">
        <w:rPr>
          <w:rFonts w:cs="Times New Roman"/>
          <w:sz w:val="24"/>
          <w:szCs w:val="24"/>
        </w:rPr>
        <w:t>, ‘</w:t>
      </w:r>
      <w:r w:rsidRPr="00862A9D">
        <w:rPr>
          <w:rFonts w:cs="Times New Roman"/>
          <w:sz w:val="24"/>
          <w:szCs w:val="24"/>
        </w:rPr>
        <w:t>Financial Liberalisation, Consumption and Wealth Effects in 7 OECD countries’</w:t>
      </w:r>
      <w:r w:rsidR="006F1CFE">
        <w:rPr>
          <w:rFonts w:cs="Times New Roman"/>
          <w:sz w:val="24"/>
          <w:szCs w:val="24"/>
        </w:rPr>
        <w:t>,</w:t>
      </w:r>
      <w:r w:rsidRPr="00862A9D">
        <w:rPr>
          <w:rFonts w:cs="Times New Roman"/>
          <w:sz w:val="24"/>
          <w:szCs w:val="24"/>
        </w:rPr>
        <w:t xml:space="preserve"> </w:t>
      </w:r>
      <w:r w:rsidRPr="00862A9D">
        <w:rPr>
          <w:rFonts w:cs="Times New Roman"/>
          <w:i/>
          <w:sz w:val="24"/>
          <w:szCs w:val="24"/>
        </w:rPr>
        <w:t xml:space="preserve">Scottish Journal of Political </w:t>
      </w:r>
      <w:proofErr w:type="gramStart"/>
      <w:r w:rsidRPr="00862A9D">
        <w:rPr>
          <w:rFonts w:cs="Times New Roman"/>
          <w:i/>
          <w:sz w:val="24"/>
          <w:szCs w:val="24"/>
        </w:rPr>
        <w:t>Economy</w:t>
      </w:r>
      <w:r w:rsidR="006F1CFE">
        <w:rPr>
          <w:rFonts w:cs="Times New Roman"/>
          <w:i/>
          <w:sz w:val="24"/>
          <w:szCs w:val="24"/>
        </w:rPr>
        <w:t>,</w:t>
      </w:r>
      <w:r w:rsidRPr="00862A9D">
        <w:rPr>
          <w:rFonts w:cs="Times New Roman"/>
          <w:i/>
          <w:sz w:val="24"/>
          <w:szCs w:val="24"/>
        </w:rPr>
        <w:t xml:space="preserve">  </w:t>
      </w:r>
      <w:r w:rsidRPr="00862A9D">
        <w:rPr>
          <w:rFonts w:cs="Times New Roman"/>
          <w:sz w:val="24"/>
          <w:szCs w:val="24"/>
        </w:rPr>
        <w:t>May</w:t>
      </w:r>
      <w:proofErr w:type="gramEnd"/>
      <w:r w:rsidR="006F1CFE">
        <w:rPr>
          <w:rFonts w:cs="Times New Roman"/>
          <w:sz w:val="24"/>
          <w:szCs w:val="24"/>
        </w:rPr>
        <w:t>,</w:t>
      </w:r>
      <w:r w:rsidRPr="00862A9D">
        <w:rPr>
          <w:rFonts w:cs="Times New Roman"/>
          <w:i/>
          <w:sz w:val="24"/>
          <w:szCs w:val="24"/>
        </w:rPr>
        <w:t xml:space="preserve"> </w:t>
      </w:r>
      <w:r w:rsidRPr="00862A9D">
        <w:rPr>
          <w:rFonts w:cs="Times New Roman"/>
          <w:sz w:val="24"/>
          <w:szCs w:val="24"/>
        </w:rPr>
        <w:t xml:space="preserve">Vol 54 </w:t>
      </w:r>
      <w:r w:rsidRPr="00862A9D">
        <w:rPr>
          <w:rFonts w:cs="Times New Roman"/>
          <w:i/>
          <w:sz w:val="24"/>
          <w:szCs w:val="24"/>
        </w:rPr>
        <w:t xml:space="preserve"> </w:t>
      </w:r>
      <w:r w:rsidRPr="00862A9D">
        <w:rPr>
          <w:rFonts w:cs="Times New Roman"/>
          <w:sz w:val="24"/>
          <w:szCs w:val="24"/>
        </w:rPr>
        <w:t xml:space="preserve">pp 254-267 </w:t>
      </w:r>
    </w:p>
    <w:p w:rsidR="00D558C2" w:rsidRPr="006F1CFE" w:rsidRDefault="00D558C2" w:rsidP="00D558C2">
      <w:pPr>
        <w:ind w:left="720" w:hanging="720"/>
        <w:rPr>
          <w:rFonts w:cstheme="minorHAnsi"/>
          <w:i/>
          <w:sz w:val="24"/>
          <w:szCs w:val="24"/>
        </w:rPr>
      </w:pPr>
      <w:r w:rsidRPr="006F1CFE">
        <w:rPr>
          <w:rFonts w:cstheme="minorHAnsi"/>
          <w:sz w:val="24"/>
          <w:szCs w:val="24"/>
        </w:rPr>
        <w:t>Barrell</w:t>
      </w:r>
      <w:r w:rsidR="006F1CFE">
        <w:rPr>
          <w:rFonts w:cstheme="minorHAnsi"/>
          <w:sz w:val="24"/>
          <w:szCs w:val="24"/>
        </w:rPr>
        <w:t>,</w:t>
      </w:r>
      <w:r w:rsidRPr="006F1CFE">
        <w:rPr>
          <w:rFonts w:cstheme="minorHAnsi"/>
          <w:sz w:val="24"/>
          <w:szCs w:val="24"/>
        </w:rPr>
        <w:t xml:space="preserve"> R</w:t>
      </w:r>
      <w:r w:rsidR="006F1CFE">
        <w:rPr>
          <w:rFonts w:cstheme="minorHAnsi"/>
          <w:sz w:val="24"/>
          <w:szCs w:val="24"/>
        </w:rPr>
        <w:t>.</w:t>
      </w:r>
      <w:r w:rsidRPr="006F1CFE">
        <w:rPr>
          <w:rFonts w:cstheme="minorHAnsi"/>
          <w:sz w:val="24"/>
          <w:szCs w:val="24"/>
        </w:rPr>
        <w:t xml:space="preserve"> Davis P</w:t>
      </w:r>
      <w:r w:rsidR="006F1CFE">
        <w:rPr>
          <w:rFonts w:cstheme="minorHAnsi"/>
          <w:sz w:val="24"/>
          <w:szCs w:val="24"/>
        </w:rPr>
        <w:t>.</w:t>
      </w:r>
      <w:r w:rsidRPr="006F1CFE">
        <w:rPr>
          <w:rFonts w:cstheme="minorHAnsi"/>
          <w:sz w:val="24"/>
          <w:szCs w:val="24"/>
        </w:rPr>
        <w:t xml:space="preserve">, Fic T., Holland D., Kirby S., and </w:t>
      </w:r>
      <w:proofErr w:type="spellStart"/>
      <w:r w:rsidRPr="006F1CFE">
        <w:rPr>
          <w:rFonts w:cstheme="minorHAnsi"/>
          <w:sz w:val="24"/>
          <w:szCs w:val="24"/>
        </w:rPr>
        <w:t>Liadze</w:t>
      </w:r>
      <w:proofErr w:type="spellEnd"/>
      <w:r w:rsidRPr="006F1CFE">
        <w:rPr>
          <w:rFonts w:cstheme="minorHAnsi"/>
          <w:sz w:val="24"/>
          <w:szCs w:val="24"/>
        </w:rPr>
        <w:t xml:space="preserve"> I</w:t>
      </w:r>
      <w:r w:rsidR="006F1CFE">
        <w:rPr>
          <w:rFonts w:cstheme="minorHAnsi"/>
          <w:sz w:val="24"/>
          <w:szCs w:val="24"/>
        </w:rPr>
        <w:t>.</w:t>
      </w:r>
      <w:r w:rsidRPr="006F1CFE">
        <w:rPr>
          <w:rFonts w:cstheme="minorHAnsi"/>
          <w:sz w:val="24"/>
          <w:szCs w:val="24"/>
        </w:rPr>
        <w:t xml:space="preserve"> (2009)</w:t>
      </w:r>
      <w:r w:rsidR="006F1CFE">
        <w:rPr>
          <w:rFonts w:cstheme="minorHAnsi"/>
          <w:sz w:val="24"/>
          <w:szCs w:val="24"/>
        </w:rPr>
        <w:t>,</w:t>
      </w:r>
      <w:r w:rsidRPr="006F1CFE">
        <w:rPr>
          <w:rFonts w:cstheme="minorHAnsi"/>
          <w:sz w:val="24"/>
          <w:szCs w:val="24"/>
        </w:rPr>
        <w:t xml:space="preserve"> ‘Optimal regulation of bank capital and liquidity: how to calibrate new international standards’</w:t>
      </w:r>
      <w:r w:rsidR="006F1CFE">
        <w:rPr>
          <w:rFonts w:cstheme="minorHAnsi"/>
          <w:sz w:val="24"/>
          <w:szCs w:val="24"/>
        </w:rPr>
        <w:t>,</w:t>
      </w:r>
      <w:r w:rsidRPr="006F1CFE">
        <w:rPr>
          <w:rFonts w:cstheme="minorHAnsi"/>
          <w:sz w:val="24"/>
          <w:szCs w:val="24"/>
        </w:rPr>
        <w:t xml:space="preserve"> </w:t>
      </w:r>
      <w:r w:rsidRPr="006F1CFE">
        <w:rPr>
          <w:rFonts w:cstheme="minorHAnsi"/>
          <w:i/>
          <w:sz w:val="24"/>
          <w:szCs w:val="24"/>
        </w:rPr>
        <w:t>FSA Occasional Paper no. 38, October</w:t>
      </w:r>
      <w:r w:rsidR="006F1CFE">
        <w:rPr>
          <w:rFonts w:cstheme="minorHAnsi"/>
          <w:i/>
          <w:sz w:val="24"/>
          <w:szCs w:val="24"/>
        </w:rPr>
        <w:t>.</w:t>
      </w:r>
    </w:p>
    <w:p w:rsidR="00D558C2" w:rsidRPr="006F1CFE" w:rsidRDefault="00D558C2" w:rsidP="00D558C2">
      <w:pPr>
        <w:ind w:left="720" w:hanging="720"/>
        <w:rPr>
          <w:rFonts w:cstheme="minorHAnsi"/>
          <w:b/>
          <w:sz w:val="24"/>
          <w:szCs w:val="24"/>
        </w:rPr>
      </w:pPr>
      <w:r w:rsidRPr="006F1CFE">
        <w:rPr>
          <w:rFonts w:cstheme="minorHAnsi"/>
          <w:sz w:val="24"/>
          <w:szCs w:val="24"/>
        </w:rPr>
        <w:t>Barrell</w:t>
      </w:r>
      <w:r w:rsidR="006F1CFE">
        <w:rPr>
          <w:rFonts w:cstheme="minorHAnsi"/>
          <w:sz w:val="24"/>
          <w:szCs w:val="24"/>
        </w:rPr>
        <w:t>,</w:t>
      </w:r>
      <w:r w:rsidRPr="006F1CFE">
        <w:rPr>
          <w:rFonts w:cstheme="minorHAnsi"/>
          <w:sz w:val="24"/>
          <w:szCs w:val="24"/>
        </w:rPr>
        <w:t xml:space="preserve"> R</w:t>
      </w:r>
      <w:r w:rsidR="006F1CFE">
        <w:rPr>
          <w:rFonts w:cstheme="minorHAnsi"/>
          <w:sz w:val="24"/>
          <w:szCs w:val="24"/>
        </w:rPr>
        <w:t>.</w:t>
      </w:r>
      <w:r w:rsidRPr="006F1CFE">
        <w:rPr>
          <w:rFonts w:cstheme="minorHAnsi"/>
          <w:sz w:val="24"/>
          <w:szCs w:val="24"/>
        </w:rPr>
        <w:t>, Davis P</w:t>
      </w:r>
      <w:r w:rsidR="006F1CFE">
        <w:rPr>
          <w:rFonts w:cstheme="minorHAnsi"/>
          <w:sz w:val="24"/>
          <w:szCs w:val="24"/>
        </w:rPr>
        <w:t>.</w:t>
      </w:r>
      <w:r w:rsidRPr="006F1CFE">
        <w:rPr>
          <w:rFonts w:cstheme="minorHAnsi"/>
          <w:sz w:val="24"/>
          <w:szCs w:val="24"/>
        </w:rPr>
        <w:t>, Karim D</w:t>
      </w:r>
      <w:r w:rsidR="006F1CFE">
        <w:rPr>
          <w:rFonts w:cstheme="minorHAnsi"/>
          <w:sz w:val="24"/>
          <w:szCs w:val="24"/>
        </w:rPr>
        <w:t>.</w:t>
      </w:r>
      <w:r w:rsidRPr="006F1CFE">
        <w:rPr>
          <w:rFonts w:cstheme="minorHAnsi"/>
          <w:sz w:val="24"/>
          <w:szCs w:val="24"/>
        </w:rPr>
        <w:t xml:space="preserve"> and </w:t>
      </w:r>
      <w:proofErr w:type="spellStart"/>
      <w:r w:rsidRPr="006F1CFE">
        <w:rPr>
          <w:rFonts w:cstheme="minorHAnsi"/>
          <w:sz w:val="24"/>
          <w:szCs w:val="24"/>
        </w:rPr>
        <w:t>Liadze</w:t>
      </w:r>
      <w:proofErr w:type="spellEnd"/>
      <w:r w:rsidRPr="006F1CFE">
        <w:rPr>
          <w:rFonts w:cstheme="minorHAnsi"/>
          <w:sz w:val="24"/>
          <w:szCs w:val="24"/>
        </w:rPr>
        <w:t xml:space="preserve"> I</w:t>
      </w:r>
      <w:r w:rsidR="006F1CFE">
        <w:rPr>
          <w:rFonts w:cstheme="minorHAnsi"/>
          <w:sz w:val="24"/>
          <w:szCs w:val="24"/>
        </w:rPr>
        <w:t>.,</w:t>
      </w:r>
      <w:r w:rsidRPr="006F1CFE">
        <w:rPr>
          <w:rFonts w:cstheme="minorHAnsi"/>
          <w:sz w:val="24"/>
          <w:szCs w:val="24"/>
        </w:rPr>
        <w:t xml:space="preserve"> (2010), </w:t>
      </w:r>
      <w:r w:rsidR="006F1CFE">
        <w:rPr>
          <w:rFonts w:cstheme="minorHAnsi"/>
          <w:sz w:val="24"/>
          <w:szCs w:val="24"/>
        </w:rPr>
        <w:t>‘</w:t>
      </w:r>
      <w:r w:rsidRPr="006F1CFE">
        <w:rPr>
          <w:rFonts w:cstheme="minorHAnsi"/>
          <w:sz w:val="24"/>
          <w:szCs w:val="24"/>
        </w:rPr>
        <w:t>Bank regulation, property prices and early warning systems for banking crises in OECD countries</w:t>
      </w:r>
      <w:r w:rsidR="006F1CFE">
        <w:rPr>
          <w:rFonts w:cstheme="minorHAnsi"/>
          <w:sz w:val="24"/>
          <w:szCs w:val="24"/>
        </w:rPr>
        <w:t>’,</w:t>
      </w:r>
      <w:r w:rsidRPr="006F1CFE">
        <w:rPr>
          <w:rFonts w:cstheme="minorHAnsi"/>
          <w:sz w:val="24"/>
          <w:szCs w:val="24"/>
        </w:rPr>
        <w:t xml:space="preserve"> </w:t>
      </w:r>
      <w:r w:rsidRPr="006F1CFE">
        <w:rPr>
          <w:rFonts w:cstheme="minorHAnsi"/>
          <w:i/>
          <w:sz w:val="24"/>
          <w:szCs w:val="24"/>
        </w:rPr>
        <w:t xml:space="preserve">Journal of Banking and Finance vol. </w:t>
      </w:r>
      <w:r w:rsidRPr="006F1CFE">
        <w:rPr>
          <w:rFonts w:cstheme="minorHAnsi"/>
          <w:sz w:val="24"/>
          <w:szCs w:val="24"/>
        </w:rPr>
        <w:t>34 pp 2255–2264</w:t>
      </w:r>
      <w:r w:rsidR="006F1CFE">
        <w:rPr>
          <w:rFonts w:cstheme="minorHAnsi"/>
          <w:sz w:val="24"/>
          <w:szCs w:val="24"/>
        </w:rPr>
        <w:t>.</w:t>
      </w:r>
    </w:p>
    <w:p w:rsidR="00D558C2" w:rsidRPr="00EF7E8C" w:rsidRDefault="00D558C2" w:rsidP="00D558C2">
      <w:pPr>
        <w:pStyle w:val="BodyTextIndent"/>
        <w:spacing w:after="0"/>
        <w:ind w:left="720" w:hanging="720"/>
        <w:rPr>
          <w:rFonts w:asciiTheme="minorHAnsi" w:hAnsiTheme="minorHAnsi"/>
          <w:szCs w:val="24"/>
        </w:rPr>
      </w:pPr>
      <w:r w:rsidRPr="00EF7E8C">
        <w:rPr>
          <w:rFonts w:asciiTheme="minorHAnsi" w:hAnsiTheme="minorHAnsi"/>
          <w:szCs w:val="24"/>
        </w:rPr>
        <w:t xml:space="preserve">Barrell R. and </w:t>
      </w:r>
      <w:proofErr w:type="spellStart"/>
      <w:r w:rsidRPr="00EF7E8C">
        <w:rPr>
          <w:rFonts w:asciiTheme="minorHAnsi" w:hAnsiTheme="minorHAnsi"/>
          <w:szCs w:val="24"/>
        </w:rPr>
        <w:t>Dury</w:t>
      </w:r>
      <w:proofErr w:type="spellEnd"/>
      <w:r w:rsidR="006F1CFE">
        <w:rPr>
          <w:rFonts w:asciiTheme="minorHAnsi" w:hAnsiTheme="minorHAnsi"/>
          <w:szCs w:val="24"/>
        </w:rPr>
        <w:t xml:space="preserve">, K. </w:t>
      </w:r>
      <w:r w:rsidRPr="00EF7E8C">
        <w:rPr>
          <w:rFonts w:asciiTheme="minorHAnsi" w:hAnsiTheme="minorHAnsi"/>
          <w:szCs w:val="24"/>
        </w:rPr>
        <w:t xml:space="preserve"> (2000a)</w:t>
      </w:r>
      <w:r w:rsidR="006F1CFE">
        <w:rPr>
          <w:rFonts w:asciiTheme="minorHAnsi" w:hAnsiTheme="minorHAnsi"/>
          <w:szCs w:val="24"/>
        </w:rPr>
        <w:t>,</w:t>
      </w:r>
      <w:r w:rsidRPr="00EF7E8C">
        <w:rPr>
          <w:rFonts w:asciiTheme="minorHAnsi" w:hAnsiTheme="minorHAnsi"/>
          <w:szCs w:val="24"/>
        </w:rPr>
        <w:t xml:space="preserve"> ‘Choosing the Regime: Macroeconomic effects of UK entry into EMU’</w:t>
      </w:r>
      <w:r w:rsidR="006F1CFE">
        <w:rPr>
          <w:rFonts w:asciiTheme="minorHAnsi" w:hAnsiTheme="minorHAnsi"/>
          <w:szCs w:val="24"/>
        </w:rPr>
        <w:t>,</w:t>
      </w:r>
      <w:r w:rsidRPr="00EF7E8C">
        <w:rPr>
          <w:rFonts w:asciiTheme="minorHAnsi" w:hAnsiTheme="minorHAnsi"/>
          <w:szCs w:val="24"/>
        </w:rPr>
        <w:t xml:space="preserve"> </w:t>
      </w:r>
      <w:r w:rsidRPr="00EF7E8C">
        <w:rPr>
          <w:rFonts w:asciiTheme="minorHAnsi" w:hAnsiTheme="minorHAnsi"/>
          <w:i/>
          <w:szCs w:val="24"/>
        </w:rPr>
        <w:t>Journal of Common Market Studies</w:t>
      </w:r>
      <w:r w:rsidRPr="00EF7E8C">
        <w:rPr>
          <w:rFonts w:asciiTheme="minorHAnsi" w:hAnsiTheme="minorHAnsi"/>
          <w:szCs w:val="24"/>
        </w:rPr>
        <w:t>, Vol. 30 (4)</w:t>
      </w:r>
      <w:r w:rsidR="006F1CFE">
        <w:rPr>
          <w:rFonts w:asciiTheme="minorHAnsi" w:hAnsiTheme="minorHAnsi"/>
          <w:szCs w:val="24"/>
        </w:rPr>
        <w:t>.</w:t>
      </w:r>
    </w:p>
    <w:p w:rsidR="00D558C2" w:rsidRPr="00EF7E8C" w:rsidRDefault="00D558C2" w:rsidP="00D558C2">
      <w:pPr>
        <w:pStyle w:val="indent"/>
        <w:ind w:left="720" w:hanging="720"/>
        <w:jc w:val="both"/>
        <w:rPr>
          <w:rFonts w:asciiTheme="minorHAnsi" w:hAnsiTheme="minorHAnsi"/>
          <w:szCs w:val="24"/>
        </w:rPr>
      </w:pPr>
      <w:r w:rsidRPr="00EF7E8C">
        <w:rPr>
          <w:rFonts w:asciiTheme="minorHAnsi" w:hAnsiTheme="minorHAnsi"/>
          <w:szCs w:val="24"/>
        </w:rPr>
        <w:t xml:space="preserve">Barrell, R., and </w:t>
      </w:r>
      <w:proofErr w:type="spellStart"/>
      <w:r w:rsidRPr="00EF7E8C">
        <w:rPr>
          <w:rFonts w:asciiTheme="minorHAnsi" w:hAnsiTheme="minorHAnsi"/>
          <w:szCs w:val="24"/>
        </w:rPr>
        <w:t>Dury</w:t>
      </w:r>
      <w:proofErr w:type="spellEnd"/>
      <w:r w:rsidRPr="00EF7E8C">
        <w:rPr>
          <w:rFonts w:asciiTheme="minorHAnsi" w:hAnsiTheme="minorHAnsi"/>
          <w:szCs w:val="24"/>
        </w:rPr>
        <w:t xml:space="preserve">, K., (2000) ‘An Evaluation of Monetary Targeting Regimes’ </w:t>
      </w:r>
      <w:r w:rsidRPr="00EF7E8C">
        <w:rPr>
          <w:rFonts w:asciiTheme="minorHAnsi" w:hAnsiTheme="minorHAnsi"/>
          <w:i/>
          <w:szCs w:val="24"/>
        </w:rPr>
        <w:t>National Institute Economic Review No. 174 October</w:t>
      </w:r>
      <w:r w:rsidRPr="00EF7E8C">
        <w:rPr>
          <w:rFonts w:asciiTheme="minorHAnsi" w:hAnsiTheme="minorHAnsi"/>
          <w:szCs w:val="24"/>
        </w:rPr>
        <w:t xml:space="preserve"> 2000</w:t>
      </w:r>
    </w:p>
    <w:p w:rsidR="00D558C2" w:rsidRPr="00B2334B" w:rsidRDefault="00D558C2" w:rsidP="00D558C2">
      <w:pPr>
        <w:pStyle w:val="Title"/>
        <w:ind w:left="720" w:hanging="720"/>
        <w:jc w:val="both"/>
        <w:rPr>
          <w:rFonts w:asciiTheme="minorHAnsi" w:hAnsiTheme="minorHAnsi"/>
          <w:b w:val="0"/>
          <w:sz w:val="24"/>
          <w:szCs w:val="24"/>
        </w:rPr>
      </w:pPr>
      <w:r w:rsidRPr="00B2334B">
        <w:rPr>
          <w:rFonts w:asciiTheme="minorHAnsi" w:hAnsiTheme="minorHAnsi"/>
          <w:b w:val="0"/>
          <w:sz w:val="24"/>
          <w:szCs w:val="24"/>
        </w:rPr>
        <w:t xml:space="preserve">Barrell R., and </w:t>
      </w:r>
      <w:proofErr w:type="spellStart"/>
      <w:r w:rsidRPr="00B2334B">
        <w:rPr>
          <w:rFonts w:asciiTheme="minorHAnsi" w:hAnsiTheme="minorHAnsi"/>
          <w:b w:val="0"/>
          <w:sz w:val="24"/>
          <w:szCs w:val="24"/>
        </w:rPr>
        <w:t>Dury</w:t>
      </w:r>
      <w:proofErr w:type="spellEnd"/>
      <w:r w:rsidRPr="00B2334B">
        <w:rPr>
          <w:rFonts w:asciiTheme="minorHAnsi" w:hAnsiTheme="minorHAnsi"/>
          <w:b w:val="0"/>
          <w:sz w:val="24"/>
          <w:szCs w:val="24"/>
        </w:rPr>
        <w:t>, K. (2003)</w:t>
      </w:r>
      <w:r w:rsidR="006F1CFE">
        <w:rPr>
          <w:rFonts w:asciiTheme="minorHAnsi" w:hAnsiTheme="minorHAnsi"/>
          <w:b w:val="0"/>
          <w:sz w:val="24"/>
          <w:szCs w:val="24"/>
        </w:rPr>
        <w:t>,</w:t>
      </w:r>
      <w:r w:rsidRPr="00B2334B">
        <w:rPr>
          <w:rFonts w:asciiTheme="minorHAnsi" w:hAnsiTheme="minorHAnsi"/>
          <w:b w:val="0"/>
          <w:sz w:val="24"/>
          <w:szCs w:val="24"/>
        </w:rPr>
        <w:t xml:space="preserve"> ‘Asymmetric labour markets in a converging Europe: Do differences matter?’ </w:t>
      </w:r>
      <w:bookmarkStart w:id="1" w:name="_Hlk526595107"/>
      <w:r w:rsidRPr="00B2334B">
        <w:rPr>
          <w:rFonts w:asciiTheme="minorHAnsi" w:hAnsiTheme="minorHAnsi"/>
          <w:b w:val="0"/>
          <w:i/>
          <w:sz w:val="24"/>
          <w:szCs w:val="24"/>
        </w:rPr>
        <w:t>National Institute Economic Review</w:t>
      </w:r>
      <w:r w:rsidRPr="00B2334B">
        <w:rPr>
          <w:rFonts w:asciiTheme="minorHAnsi" w:hAnsiTheme="minorHAnsi"/>
          <w:b w:val="0"/>
          <w:sz w:val="24"/>
          <w:szCs w:val="24"/>
        </w:rPr>
        <w:t xml:space="preserve"> No. 183, January 2003</w:t>
      </w:r>
      <w:r w:rsidR="006F1CFE">
        <w:rPr>
          <w:rFonts w:asciiTheme="minorHAnsi" w:hAnsiTheme="minorHAnsi"/>
          <w:b w:val="0"/>
          <w:sz w:val="24"/>
          <w:szCs w:val="24"/>
        </w:rPr>
        <w:t>.</w:t>
      </w:r>
    </w:p>
    <w:bookmarkEnd w:id="1"/>
    <w:p w:rsidR="00D558C2" w:rsidRPr="007174F7" w:rsidRDefault="00D558C2" w:rsidP="00D558C2">
      <w:pPr>
        <w:ind w:left="720" w:hanging="720"/>
        <w:rPr>
          <w:rFonts w:ascii="Times New Roman" w:hAnsi="Times New Roman" w:cs="Times New Roman"/>
          <w:sz w:val="24"/>
          <w:szCs w:val="24"/>
        </w:rPr>
      </w:pPr>
      <w:r w:rsidRPr="007174F7">
        <w:rPr>
          <w:rFonts w:ascii="Times New Roman" w:hAnsi="Times New Roman" w:cs="Times New Roman"/>
          <w:sz w:val="24"/>
          <w:szCs w:val="24"/>
        </w:rPr>
        <w:t xml:space="preserve">Barrell, R., </w:t>
      </w:r>
      <w:proofErr w:type="spellStart"/>
      <w:r w:rsidRPr="007174F7">
        <w:rPr>
          <w:rFonts w:ascii="Times New Roman" w:hAnsi="Times New Roman" w:cs="Times New Roman"/>
          <w:sz w:val="24"/>
          <w:szCs w:val="24"/>
        </w:rPr>
        <w:t>Dury</w:t>
      </w:r>
      <w:proofErr w:type="spellEnd"/>
      <w:r w:rsidRPr="007174F7">
        <w:rPr>
          <w:rFonts w:ascii="Times New Roman" w:hAnsi="Times New Roman" w:cs="Times New Roman"/>
          <w:sz w:val="24"/>
          <w:szCs w:val="24"/>
        </w:rPr>
        <w:t xml:space="preserve">, K. and Hurst, I. (2003), ‘International monetary policy co-ordination: An evaluation using a large Econometric model’, </w:t>
      </w:r>
      <w:r w:rsidRPr="007174F7">
        <w:rPr>
          <w:rFonts w:ascii="Times New Roman" w:hAnsi="Times New Roman" w:cs="Times New Roman"/>
          <w:i/>
          <w:sz w:val="24"/>
          <w:szCs w:val="24"/>
        </w:rPr>
        <w:t xml:space="preserve">Economic Modelling </w:t>
      </w:r>
      <w:r w:rsidRPr="007174F7">
        <w:rPr>
          <w:rFonts w:ascii="Times New Roman" w:hAnsi="Times New Roman" w:cs="Times New Roman"/>
          <w:sz w:val="24"/>
          <w:szCs w:val="24"/>
        </w:rPr>
        <w:t>vol 20 pp 507-527</w:t>
      </w:r>
    </w:p>
    <w:p w:rsidR="00D558C2" w:rsidRPr="006F1CFE" w:rsidRDefault="00D558C2" w:rsidP="00D558C2">
      <w:pPr>
        <w:autoSpaceDE w:val="0"/>
        <w:autoSpaceDN w:val="0"/>
        <w:adjustRightInd w:val="0"/>
        <w:ind w:left="720" w:hanging="720"/>
        <w:rPr>
          <w:rFonts w:cstheme="minorHAnsi"/>
          <w:color w:val="231F20"/>
          <w:sz w:val="24"/>
          <w:szCs w:val="24"/>
        </w:rPr>
      </w:pPr>
      <w:r w:rsidRPr="006F1CFE">
        <w:rPr>
          <w:rFonts w:cstheme="minorHAnsi"/>
          <w:color w:val="231F20"/>
          <w:sz w:val="24"/>
          <w:szCs w:val="24"/>
        </w:rPr>
        <w:t>Barrell, R., Fic</w:t>
      </w:r>
      <w:r w:rsidR="006F1CFE">
        <w:rPr>
          <w:rFonts w:cstheme="minorHAnsi"/>
          <w:color w:val="231F20"/>
          <w:sz w:val="24"/>
          <w:szCs w:val="24"/>
        </w:rPr>
        <w:t>, T.</w:t>
      </w:r>
      <w:r w:rsidRPr="006F1CFE">
        <w:rPr>
          <w:rFonts w:cstheme="minorHAnsi"/>
          <w:color w:val="231F20"/>
          <w:sz w:val="24"/>
          <w:szCs w:val="24"/>
        </w:rPr>
        <w:t xml:space="preserve"> and Holland</w:t>
      </w:r>
      <w:r w:rsidR="006F1CFE">
        <w:rPr>
          <w:rFonts w:cstheme="minorHAnsi"/>
          <w:color w:val="231F20"/>
          <w:sz w:val="24"/>
          <w:szCs w:val="24"/>
        </w:rPr>
        <w:t>, D.</w:t>
      </w:r>
      <w:r w:rsidRPr="006F1CFE">
        <w:rPr>
          <w:rFonts w:cstheme="minorHAnsi"/>
          <w:color w:val="231F20"/>
          <w:sz w:val="24"/>
          <w:szCs w:val="24"/>
        </w:rPr>
        <w:t xml:space="preserve"> (2009)</w:t>
      </w:r>
      <w:r w:rsidR="006F1CFE">
        <w:rPr>
          <w:rFonts w:cstheme="minorHAnsi"/>
          <w:color w:val="231F20"/>
          <w:sz w:val="24"/>
          <w:szCs w:val="24"/>
        </w:rPr>
        <w:t>,</w:t>
      </w:r>
      <w:r w:rsidRPr="006F1CFE">
        <w:rPr>
          <w:rFonts w:cstheme="minorHAnsi"/>
          <w:color w:val="231F20"/>
          <w:sz w:val="24"/>
          <w:szCs w:val="24"/>
        </w:rPr>
        <w:t xml:space="preserve"> </w:t>
      </w:r>
      <w:r w:rsidRPr="006F1CFE">
        <w:rPr>
          <w:rFonts w:cstheme="minorHAnsi"/>
          <w:bCs/>
          <w:color w:val="231F20"/>
          <w:sz w:val="24"/>
          <w:szCs w:val="24"/>
        </w:rPr>
        <w:t>‘Evaluating policy reactions to the financial crisis’</w:t>
      </w:r>
      <w:r w:rsidR="006F1CFE">
        <w:rPr>
          <w:rFonts w:cstheme="minorHAnsi"/>
          <w:bCs/>
          <w:color w:val="231F20"/>
          <w:sz w:val="24"/>
          <w:szCs w:val="24"/>
        </w:rPr>
        <w:t>,</w:t>
      </w:r>
      <w:r w:rsidRPr="006F1CFE">
        <w:rPr>
          <w:rFonts w:cstheme="minorHAnsi"/>
          <w:bCs/>
          <w:color w:val="231F20"/>
          <w:sz w:val="24"/>
          <w:szCs w:val="24"/>
        </w:rPr>
        <w:t xml:space="preserve"> </w:t>
      </w:r>
      <w:r w:rsidRPr="006F1CFE">
        <w:rPr>
          <w:rFonts w:cstheme="minorHAnsi"/>
          <w:i/>
          <w:sz w:val="24"/>
          <w:szCs w:val="24"/>
        </w:rPr>
        <w:t>National Institute Economic Review</w:t>
      </w:r>
      <w:r w:rsidRPr="006F1CFE">
        <w:rPr>
          <w:rFonts w:cstheme="minorHAnsi"/>
          <w:sz w:val="24"/>
          <w:szCs w:val="24"/>
        </w:rPr>
        <w:t xml:space="preserve"> January 2009 no 207 pp </w:t>
      </w:r>
      <w:r w:rsidRPr="006F1CFE">
        <w:rPr>
          <w:rFonts w:cstheme="minorHAnsi"/>
          <w:color w:val="231F20"/>
          <w:sz w:val="24"/>
          <w:szCs w:val="24"/>
        </w:rPr>
        <w:t>39-42</w:t>
      </w:r>
    </w:p>
    <w:p w:rsidR="00D558C2" w:rsidRPr="006F1CFE" w:rsidRDefault="00D558C2" w:rsidP="00D558C2">
      <w:pPr>
        <w:autoSpaceDE w:val="0"/>
        <w:autoSpaceDN w:val="0"/>
        <w:adjustRightInd w:val="0"/>
        <w:ind w:left="720" w:hanging="720"/>
        <w:rPr>
          <w:rFonts w:cstheme="minorHAnsi"/>
          <w:color w:val="231F20"/>
          <w:sz w:val="24"/>
          <w:szCs w:val="24"/>
        </w:rPr>
      </w:pPr>
      <w:r w:rsidRPr="006F1CFE">
        <w:rPr>
          <w:rFonts w:cstheme="minorHAnsi"/>
          <w:color w:val="231F20"/>
          <w:sz w:val="24"/>
          <w:szCs w:val="24"/>
        </w:rPr>
        <w:lastRenderedPageBreak/>
        <w:t>Barrell, R., Fic</w:t>
      </w:r>
      <w:r w:rsidR="006F1CFE">
        <w:rPr>
          <w:rFonts w:cstheme="minorHAnsi"/>
          <w:color w:val="231F20"/>
          <w:sz w:val="24"/>
          <w:szCs w:val="24"/>
        </w:rPr>
        <w:t>, T.</w:t>
      </w:r>
      <w:r w:rsidRPr="006F1CFE">
        <w:rPr>
          <w:rFonts w:cstheme="minorHAnsi"/>
          <w:color w:val="231F20"/>
          <w:sz w:val="24"/>
          <w:szCs w:val="24"/>
        </w:rPr>
        <w:t xml:space="preserve"> and </w:t>
      </w:r>
      <w:proofErr w:type="spellStart"/>
      <w:r w:rsidRPr="006F1CFE">
        <w:rPr>
          <w:rFonts w:cstheme="minorHAnsi"/>
          <w:color w:val="231F20"/>
          <w:sz w:val="24"/>
          <w:szCs w:val="24"/>
        </w:rPr>
        <w:t>Liadze</w:t>
      </w:r>
      <w:proofErr w:type="spellEnd"/>
      <w:r w:rsidR="006F1CFE">
        <w:rPr>
          <w:rFonts w:cstheme="minorHAnsi"/>
          <w:color w:val="231F20"/>
          <w:sz w:val="24"/>
          <w:szCs w:val="24"/>
        </w:rPr>
        <w:t>, I.</w:t>
      </w:r>
      <w:r w:rsidRPr="006F1CFE">
        <w:rPr>
          <w:rFonts w:cstheme="minorHAnsi"/>
          <w:color w:val="231F20"/>
          <w:sz w:val="24"/>
          <w:szCs w:val="24"/>
        </w:rPr>
        <w:t xml:space="preserve"> (2009)</w:t>
      </w:r>
      <w:r w:rsidR="006F1CFE">
        <w:rPr>
          <w:rFonts w:cstheme="minorHAnsi"/>
          <w:color w:val="231F20"/>
          <w:sz w:val="24"/>
          <w:szCs w:val="24"/>
        </w:rPr>
        <w:t>, ‘</w:t>
      </w:r>
      <w:r w:rsidRPr="006F1CFE">
        <w:rPr>
          <w:rFonts w:cstheme="minorHAnsi"/>
          <w:bCs/>
          <w:color w:val="231F20"/>
          <w:sz w:val="24"/>
          <w:szCs w:val="24"/>
        </w:rPr>
        <w:t>Fiscal policy effectiveness in the banking crisis</w:t>
      </w:r>
      <w:r w:rsidR="006F1CFE">
        <w:rPr>
          <w:rFonts w:cstheme="minorHAnsi"/>
          <w:bCs/>
          <w:color w:val="231F20"/>
          <w:sz w:val="24"/>
          <w:szCs w:val="24"/>
        </w:rPr>
        <w:t>’,</w:t>
      </w:r>
      <w:r w:rsidRPr="006F1CFE">
        <w:rPr>
          <w:rFonts w:cstheme="minorHAnsi"/>
          <w:bCs/>
          <w:color w:val="231F20"/>
          <w:sz w:val="24"/>
          <w:szCs w:val="24"/>
        </w:rPr>
        <w:t xml:space="preserve"> </w:t>
      </w:r>
      <w:r w:rsidRPr="006F1CFE">
        <w:rPr>
          <w:rFonts w:cstheme="minorHAnsi"/>
          <w:i/>
          <w:sz w:val="24"/>
          <w:szCs w:val="24"/>
        </w:rPr>
        <w:t>National Institute Economic Review</w:t>
      </w:r>
      <w:r w:rsidR="006F1CFE">
        <w:rPr>
          <w:rFonts w:cstheme="minorHAnsi"/>
          <w:i/>
          <w:sz w:val="24"/>
          <w:szCs w:val="24"/>
        </w:rPr>
        <w:t>,</w:t>
      </w:r>
      <w:r w:rsidRPr="006F1CFE">
        <w:rPr>
          <w:rFonts w:cstheme="minorHAnsi"/>
          <w:sz w:val="24"/>
          <w:szCs w:val="24"/>
        </w:rPr>
        <w:t xml:space="preserve"> January 2009 no 207 pp </w:t>
      </w:r>
      <w:r w:rsidRPr="006F1CFE">
        <w:rPr>
          <w:rFonts w:cstheme="minorHAnsi"/>
          <w:color w:val="231F20"/>
          <w:sz w:val="24"/>
          <w:szCs w:val="24"/>
        </w:rPr>
        <w:t xml:space="preserve">43-50 </w:t>
      </w:r>
    </w:p>
    <w:p w:rsidR="00D558C2" w:rsidRPr="00B2334B" w:rsidRDefault="00D558C2" w:rsidP="00D558C2">
      <w:pPr>
        <w:ind w:left="720" w:hanging="720"/>
        <w:rPr>
          <w:rFonts w:cs="Times New Roman"/>
          <w:color w:val="000000"/>
          <w:sz w:val="24"/>
          <w:szCs w:val="24"/>
        </w:rPr>
      </w:pPr>
      <w:r w:rsidRPr="00B2334B">
        <w:rPr>
          <w:rFonts w:cs="Times New Roman"/>
          <w:sz w:val="24"/>
          <w:szCs w:val="24"/>
        </w:rPr>
        <w:t xml:space="preserve">Barrell, R., Gottschalk, S., Kirby, S., and </w:t>
      </w:r>
      <w:proofErr w:type="spellStart"/>
      <w:r w:rsidRPr="00B2334B">
        <w:rPr>
          <w:rFonts w:cs="Times New Roman"/>
          <w:sz w:val="24"/>
          <w:szCs w:val="24"/>
        </w:rPr>
        <w:t>Orazgani</w:t>
      </w:r>
      <w:proofErr w:type="spellEnd"/>
      <w:r w:rsidRPr="00B2334B">
        <w:rPr>
          <w:rFonts w:cs="Times New Roman"/>
          <w:sz w:val="24"/>
          <w:szCs w:val="24"/>
        </w:rPr>
        <w:t>, A., (2009)</w:t>
      </w:r>
      <w:r w:rsidR="006F1CFE">
        <w:rPr>
          <w:rFonts w:cs="Times New Roman"/>
          <w:sz w:val="24"/>
          <w:szCs w:val="24"/>
        </w:rPr>
        <w:t>,</w:t>
      </w:r>
      <w:r w:rsidRPr="00B2334B">
        <w:rPr>
          <w:rFonts w:cs="Times New Roman"/>
          <w:sz w:val="24"/>
          <w:szCs w:val="24"/>
        </w:rPr>
        <w:t xml:space="preserve"> ‘Projections of migration inflows under alternative scenarios for the World Economy’ </w:t>
      </w:r>
      <w:r w:rsidRPr="00B2334B">
        <w:rPr>
          <w:rFonts w:cs="Times New Roman"/>
          <w:i/>
          <w:sz w:val="24"/>
          <w:szCs w:val="24"/>
        </w:rPr>
        <w:t>Department of Communities and Local Government economics paper No. 3</w:t>
      </w:r>
      <w:r w:rsidRPr="00B2334B">
        <w:rPr>
          <w:rFonts w:cs="Times New Roman"/>
          <w:color w:val="000000"/>
          <w:sz w:val="24"/>
          <w:szCs w:val="24"/>
        </w:rPr>
        <w:t xml:space="preserve"> </w:t>
      </w:r>
    </w:p>
    <w:p w:rsidR="00D558C2" w:rsidRPr="00EF7E8C" w:rsidRDefault="00D558C2" w:rsidP="00D558C2">
      <w:pPr>
        <w:ind w:left="720" w:hanging="720"/>
        <w:jc w:val="both"/>
        <w:rPr>
          <w:rFonts w:cs="Times New Roman"/>
          <w:sz w:val="24"/>
          <w:szCs w:val="24"/>
        </w:rPr>
      </w:pPr>
      <w:r w:rsidRPr="00EF7E8C">
        <w:rPr>
          <w:rFonts w:cs="Times New Roman"/>
          <w:sz w:val="24"/>
          <w:szCs w:val="24"/>
        </w:rPr>
        <w:t>Barrell, R., Hall, S.G., and Hurst A.I.H., (2006)</w:t>
      </w:r>
      <w:r w:rsidR="006F1CFE">
        <w:rPr>
          <w:rFonts w:cs="Times New Roman"/>
          <w:sz w:val="24"/>
          <w:szCs w:val="24"/>
        </w:rPr>
        <w:t>, ‘</w:t>
      </w:r>
      <w:r w:rsidRPr="00EF7E8C">
        <w:rPr>
          <w:rFonts w:cs="Times New Roman"/>
          <w:sz w:val="24"/>
          <w:szCs w:val="24"/>
        </w:rPr>
        <w:t>Evaluating Policy Feedback Rules using the joint density function of a stochastic model</w:t>
      </w:r>
      <w:r w:rsidR="006F1CFE">
        <w:rPr>
          <w:rFonts w:cs="Times New Roman"/>
          <w:sz w:val="24"/>
          <w:szCs w:val="24"/>
        </w:rPr>
        <w:t xml:space="preserve">’, </w:t>
      </w:r>
      <w:r w:rsidRPr="00EF7E8C">
        <w:rPr>
          <w:rFonts w:cs="Times New Roman"/>
          <w:i/>
          <w:sz w:val="24"/>
          <w:szCs w:val="24"/>
        </w:rPr>
        <w:t xml:space="preserve">Economics </w:t>
      </w:r>
      <w:proofErr w:type="gramStart"/>
      <w:r w:rsidRPr="00EF7E8C">
        <w:rPr>
          <w:rFonts w:cs="Times New Roman"/>
          <w:i/>
          <w:sz w:val="24"/>
          <w:szCs w:val="24"/>
        </w:rPr>
        <w:t>Letters</w:t>
      </w:r>
      <w:r w:rsidR="006F1CFE">
        <w:rPr>
          <w:rFonts w:cs="Times New Roman"/>
          <w:i/>
          <w:sz w:val="24"/>
          <w:szCs w:val="24"/>
        </w:rPr>
        <w:t>,</w:t>
      </w:r>
      <w:r w:rsidRPr="00EF7E8C">
        <w:rPr>
          <w:rFonts w:cs="Times New Roman"/>
          <w:i/>
          <w:sz w:val="24"/>
          <w:szCs w:val="24"/>
        </w:rPr>
        <w:t xml:space="preserve">  </w:t>
      </w:r>
      <w:r w:rsidRPr="00EF7E8C">
        <w:rPr>
          <w:rFonts w:cs="Times New Roman"/>
          <w:sz w:val="24"/>
          <w:szCs w:val="24"/>
        </w:rPr>
        <w:t>Vol</w:t>
      </w:r>
      <w:proofErr w:type="gramEnd"/>
      <w:r w:rsidRPr="00EF7E8C">
        <w:rPr>
          <w:rFonts w:cs="Times New Roman"/>
          <w:sz w:val="24"/>
          <w:szCs w:val="24"/>
        </w:rPr>
        <w:t xml:space="preserve"> 93 (1) October 2006 pp 1-5</w:t>
      </w:r>
    </w:p>
    <w:p w:rsidR="00D558C2" w:rsidRPr="006F1CFE" w:rsidRDefault="00D558C2" w:rsidP="00D558C2">
      <w:pPr>
        <w:ind w:left="720" w:hanging="720"/>
        <w:rPr>
          <w:rFonts w:cstheme="minorHAnsi"/>
          <w:color w:val="231F20"/>
          <w:sz w:val="24"/>
          <w:szCs w:val="24"/>
        </w:rPr>
      </w:pPr>
      <w:r w:rsidRPr="006F1CFE">
        <w:rPr>
          <w:rFonts w:cstheme="minorHAnsi"/>
          <w:sz w:val="24"/>
          <w:szCs w:val="24"/>
        </w:rPr>
        <w:t>Barrell R</w:t>
      </w:r>
      <w:r w:rsidR="006F1CFE">
        <w:rPr>
          <w:rFonts w:cstheme="minorHAnsi"/>
          <w:sz w:val="24"/>
          <w:szCs w:val="24"/>
        </w:rPr>
        <w:t>.</w:t>
      </w:r>
      <w:r w:rsidRPr="006F1CFE">
        <w:rPr>
          <w:rFonts w:cstheme="minorHAnsi"/>
          <w:sz w:val="24"/>
          <w:szCs w:val="24"/>
        </w:rPr>
        <w:t>, and Holland, D., (2010)</w:t>
      </w:r>
      <w:r w:rsidR="006F1CFE">
        <w:rPr>
          <w:rFonts w:cstheme="minorHAnsi"/>
          <w:sz w:val="24"/>
          <w:szCs w:val="24"/>
        </w:rPr>
        <w:t>,</w:t>
      </w:r>
      <w:r w:rsidRPr="006F1CFE">
        <w:rPr>
          <w:rFonts w:cstheme="minorHAnsi"/>
          <w:sz w:val="24"/>
          <w:szCs w:val="24"/>
        </w:rPr>
        <w:t xml:space="preserve"> ‘Fiscal and Financial responses to the economic downturn’</w:t>
      </w:r>
      <w:r w:rsidR="006F1CFE">
        <w:rPr>
          <w:rFonts w:cstheme="minorHAnsi"/>
          <w:sz w:val="24"/>
          <w:szCs w:val="24"/>
        </w:rPr>
        <w:t>,</w:t>
      </w:r>
      <w:r w:rsidRPr="006F1CFE">
        <w:rPr>
          <w:rFonts w:cstheme="minorHAnsi"/>
          <w:sz w:val="24"/>
          <w:szCs w:val="24"/>
        </w:rPr>
        <w:t xml:space="preserve"> </w:t>
      </w:r>
      <w:r w:rsidRPr="006F1CFE">
        <w:rPr>
          <w:rFonts w:cstheme="minorHAnsi"/>
          <w:i/>
          <w:sz w:val="24"/>
          <w:szCs w:val="24"/>
        </w:rPr>
        <w:t>National Institute Economic Review</w:t>
      </w:r>
      <w:r w:rsidRPr="006F1CFE">
        <w:rPr>
          <w:rFonts w:cstheme="minorHAnsi"/>
          <w:sz w:val="24"/>
          <w:szCs w:val="24"/>
        </w:rPr>
        <w:t xml:space="preserve"> January 2010 no 211 pp R 51-</w:t>
      </w:r>
      <w:r w:rsidRPr="006F1CFE">
        <w:rPr>
          <w:rFonts w:cstheme="minorHAnsi"/>
          <w:color w:val="231F20"/>
          <w:sz w:val="24"/>
          <w:szCs w:val="24"/>
        </w:rPr>
        <w:t>62</w:t>
      </w:r>
    </w:p>
    <w:p w:rsidR="00D558C2" w:rsidRPr="00EF7E8C" w:rsidRDefault="00D558C2" w:rsidP="00D558C2">
      <w:pPr>
        <w:pStyle w:val="indent"/>
        <w:ind w:left="720" w:hanging="720"/>
        <w:jc w:val="both"/>
        <w:rPr>
          <w:rFonts w:asciiTheme="minorHAnsi" w:hAnsiTheme="minorHAnsi"/>
          <w:color w:val="000000"/>
          <w:szCs w:val="24"/>
        </w:rPr>
      </w:pPr>
      <w:r w:rsidRPr="00EF7E8C">
        <w:rPr>
          <w:rFonts w:asciiTheme="minorHAnsi" w:hAnsiTheme="minorHAnsi"/>
          <w:color w:val="000000"/>
          <w:szCs w:val="24"/>
        </w:rPr>
        <w:t>Barrell, R</w:t>
      </w:r>
      <w:r w:rsidR="006F1CFE">
        <w:rPr>
          <w:rFonts w:asciiTheme="minorHAnsi" w:hAnsiTheme="minorHAnsi"/>
          <w:color w:val="000000"/>
          <w:szCs w:val="24"/>
        </w:rPr>
        <w:t>.,</w:t>
      </w:r>
      <w:r w:rsidRPr="00EF7E8C">
        <w:rPr>
          <w:rFonts w:asciiTheme="minorHAnsi" w:hAnsiTheme="minorHAnsi"/>
          <w:color w:val="000000"/>
          <w:szCs w:val="24"/>
        </w:rPr>
        <w:t xml:space="preserve"> Hurst, I., and Mitchell, J., (2007)</w:t>
      </w:r>
      <w:r w:rsidR="006F1CFE">
        <w:rPr>
          <w:rFonts w:asciiTheme="minorHAnsi" w:hAnsiTheme="minorHAnsi"/>
          <w:color w:val="000000"/>
          <w:szCs w:val="24"/>
        </w:rPr>
        <w:t>,</w:t>
      </w:r>
      <w:r w:rsidRPr="00EF7E8C">
        <w:rPr>
          <w:rFonts w:asciiTheme="minorHAnsi" w:hAnsiTheme="minorHAnsi"/>
          <w:color w:val="000000"/>
          <w:szCs w:val="24"/>
        </w:rPr>
        <w:t xml:space="preserve"> ‘Uncertainty Bounds for Cyclically Adjusted Budget Balances’ pp 187-206 in </w:t>
      </w:r>
      <w:r w:rsidRPr="00EF7E8C">
        <w:rPr>
          <w:rFonts w:asciiTheme="minorHAnsi" w:hAnsiTheme="minorHAnsi"/>
          <w:i/>
          <w:color w:val="000000"/>
          <w:szCs w:val="24"/>
        </w:rPr>
        <w:t>Fiscal Indicators</w:t>
      </w:r>
      <w:r w:rsidRPr="00EF7E8C">
        <w:rPr>
          <w:rFonts w:asciiTheme="minorHAnsi" w:hAnsiTheme="minorHAnsi"/>
          <w:color w:val="000000"/>
          <w:szCs w:val="24"/>
        </w:rPr>
        <w:t xml:space="preserve"> ed M. Larch and L.N. Martins, European Commission, Brussels</w:t>
      </w:r>
      <w:r w:rsidR="006F1CFE">
        <w:rPr>
          <w:rFonts w:asciiTheme="minorHAnsi" w:hAnsiTheme="minorHAnsi"/>
          <w:color w:val="000000"/>
          <w:szCs w:val="24"/>
        </w:rPr>
        <w:t>.</w:t>
      </w:r>
    </w:p>
    <w:p w:rsidR="00D558C2" w:rsidRPr="007174F7" w:rsidRDefault="00D558C2" w:rsidP="00D558C2">
      <w:pPr>
        <w:ind w:left="720" w:hanging="720"/>
        <w:rPr>
          <w:rFonts w:ascii="Times New Roman" w:hAnsi="Times New Roman" w:cs="Times New Roman"/>
          <w:sz w:val="24"/>
          <w:szCs w:val="24"/>
        </w:rPr>
      </w:pPr>
      <w:r w:rsidRPr="00EF7E8C">
        <w:rPr>
          <w:rFonts w:cs="Times New Roman"/>
          <w:sz w:val="24"/>
          <w:szCs w:val="24"/>
        </w:rPr>
        <w:t>Barrell, R., Hurst, A.I., and Kirby, S., (2008)</w:t>
      </w:r>
      <w:r w:rsidR="006F1CFE">
        <w:rPr>
          <w:rFonts w:cs="Times New Roman"/>
          <w:sz w:val="24"/>
          <w:szCs w:val="24"/>
        </w:rPr>
        <w:t>,</w:t>
      </w:r>
      <w:r w:rsidRPr="00EF7E8C">
        <w:rPr>
          <w:rFonts w:cs="Times New Roman"/>
          <w:sz w:val="24"/>
          <w:szCs w:val="24"/>
        </w:rPr>
        <w:t xml:space="preserve"> ‘Financial Crises, Regulation and Growth’</w:t>
      </w:r>
      <w:r w:rsidR="006F1CFE">
        <w:rPr>
          <w:rFonts w:cs="Times New Roman"/>
          <w:sz w:val="24"/>
          <w:szCs w:val="24"/>
        </w:rPr>
        <w:t>,</w:t>
      </w:r>
      <w:r w:rsidRPr="00EF7E8C">
        <w:rPr>
          <w:rFonts w:cs="Times New Roman"/>
          <w:sz w:val="24"/>
          <w:szCs w:val="24"/>
        </w:rPr>
        <w:t xml:space="preserve"> </w:t>
      </w:r>
      <w:r w:rsidRPr="00EF7E8C">
        <w:rPr>
          <w:rFonts w:cs="Times New Roman"/>
          <w:i/>
          <w:sz w:val="24"/>
          <w:szCs w:val="24"/>
        </w:rPr>
        <w:t>National</w:t>
      </w:r>
      <w:r w:rsidRPr="00EF7E8C">
        <w:rPr>
          <w:i/>
        </w:rPr>
        <w:t xml:space="preserve"> </w:t>
      </w:r>
      <w:r w:rsidRPr="00EF7E8C">
        <w:rPr>
          <w:rFonts w:cs="Times New Roman"/>
          <w:i/>
          <w:sz w:val="24"/>
          <w:szCs w:val="24"/>
        </w:rPr>
        <w:t>Institute Economic Review</w:t>
      </w:r>
      <w:r w:rsidR="006F1CFE">
        <w:rPr>
          <w:rFonts w:cs="Times New Roman"/>
          <w:i/>
          <w:sz w:val="24"/>
          <w:szCs w:val="24"/>
        </w:rPr>
        <w:t>,</w:t>
      </w:r>
      <w:r w:rsidRPr="00EF7E8C">
        <w:rPr>
          <w:rFonts w:cs="Times New Roman"/>
          <w:sz w:val="24"/>
          <w:szCs w:val="24"/>
        </w:rPr>
        <w:t xml:space="preserve"> </w:t>
      </w:r>
      <w:proofErr w:type="gramStart"/>
      <w:r w:rsidRPr="00EF7E8C">
        <w:rPr>
          <w:rFonts w:cs="Times New Roman"/>
          <w:sz w:val="24"/>
          <w:szCs w:val="24"/>
        </w:rPr>
        <w:t>October  2008</w:t>
      </w:r>
      <w:proofErr w:type="gramEnd"/>
      <w:r w:rsidR="006F1CFE">
        <w:rPr>
          <w:rFonts w:cs="Times New Roman"/>
          <w:sz w:val="24"/>
          <w:szCs w:val="24"/>
        </w:rPr>
        <w:t>,</w:t>
      </w:r>
      <w:r w:rsidRPr="00EF7E8C">
        <w:rPr>
          <w:rFonts w:cs="Times New Roman"/>
          <w:sz w:val="24"/>
          <w:szCs w:val="24"/>
        </w:rPr>
        <w:t xml:space="preserve"> no 206</w:t>
      </w:r>
      <w:r w:rsidR="006F1CFE">
        <w:rPr>
          <w:rFonts w:cs="Times New Roman"/>
          <w:sz w:val="24"/>
          <w:szCs w:val="24"/>
        </w:rPr>
        <w:t>,</w:t>
      </w:r>
      <w:r w:rsidRPr="00EF7E8C">
        <w:rPr>
          <w:rFonts w:cs="Times New Roman"/>
          <w:sz w:val="24"/>
          <w:szCs w:val="24"/>
        </w:rPr>
        <w:t xml:space="preserve"> pp 56 -65</w:t>
      </w:r>
      <w:r w:rsidR="006F1CFE">
        <w:rPr>
          <w:rFonts w:cs="Times New Roman"/>
          <w:sz w:val="24"/>
          <w:szCs w:val="24"/>
        </w:rPr>
        <w:t>.</w:t>
      </w:r>
    </w:p>
    <w:p w:rsidR="00862A9D" w:rsidRPr="00862A9D" w:rsidRDefault="00862A9D" w:rsidP="00862A9D">
      <w:pPr>
        <w:autoSpaceDE w:val="0"/>
        <w:autoSpaceDN w:val="0"/>
        <w:adjustRightInd w:val="0"/>
        <w:ind w:left="720" w:hanging="720"/>
        <w:rPr>
          <w:rFonts w:cs="Times New Roman"/>
          <w:color w:val="231F20"/>
          <w:sz w:val="24"/>
          <w:szCs w:val="24"/>
        </w:rPr>
      </w:pPr>
      <w:r w:rsidRPr="00862A9D">
        <w:rPr>
          <w:rFonts w:cs="Times New Roman"/>
          <w:color w:val="231F20"/>
          <w:sz w:val="24"/>
          <w:szCs w:val="24"/>
        </w:rPr>
        <w:t xml:space="preserve">Barrell, R., Kirby, S. and </w:t>
      </w:r>
      <w:proofErr w:type="spellStart"/>
      <w:r w:rsidRPr="00862A9D">
        <w:rPr>
          <w:rFonts w:cs="Times New Roman"/>
          <w:color w:val="231F20"/>
          <w:sz w:val="24"/>
          <w:szCs w:val="24"/>
        </w:rPr>
        <w:t>Orazgani</w:t>
      </w:r>
      <w:proofErr w:type="spellEnd"/>
      <w:r w:rsidRPr="00862A9D">
        <w:rPr>
          <w:rFonts w:cs="Times New Roman"/>
          <w:color w:val="231F20"/>
          <w:sz w:val="24"/>
          <w:szCs w:val="24"/>
        </w:rPr>
        <w:t xml:space="preserve">, A. (2011), ‘The macroeconomic impact from extending working lives’, </w:t>
      </w:r>
      <w:r w:rsidRPr="00862A9D">
        <w:rPr>
          <w:rFonts w:cs="Times New Roman"/>
          <w:i/>
          <w:color w:val="231F20"/>
          <w:sz w:val="24"/>
          <w:szCs w:val="24"/>
        </w:rPr>
        <w:t>Department for Work and Pensions Economics Paper</w:t>
      </w:r>
      <w:r w:rsidRPr="00862A9D">
        <w:rPr>
          <w:rFonts w:cs="Times New Roman"/>
          <w:color w:val="231F20"/>
          <w:sz w:val="24"/>
          <w:szCs w:val="24"/>
        </w:rPr>
        <w:t xml:space="preserve"> no. 95.</w:t>
      </w:r>
    </w:p>
    <w:p w:rsidR="00D558C2" w:rsidRPr="00B2334B" w:rsidRDefault="00D558C2" w:rsidP="00D558C2">
      <w:pPr>
        <w:ind w:left="720" w:hanging="720"/>
        <w:rPr>
          <w:rFonts w:cs="Times New Roman"/>
          <w:sz w:val="24"/>
          <w:szCs w:val="24"/>
        </w:rPr>
      </w:pPr>
      <w:r w:rsidRPr="00B2334B">
        <w:rPr>
          <w:rFonts w:cs="Times New Roman"/>
          <w:sz w:val="24"/>
          <w:szCs w:val="24"/>
        </w:rPr>
        <w:t>Barrell, R., and Pain</w:t>
      </w:r>
      <w:r>
        <w:rPr>
          <w:rFonts w:cs="Times New Roman"/>
          <w:sz w:val="24"/>
          <w:szCs w:val="24"/>
        </w:rPr>
        <w:t>, N.</w:t>
      </w:r>
      <w:r w:rsidRPr="00B2334B">
        <w:rPr>
          <w:rFonts w:cs="Times New Roman"/>
          <w:sz w:val="24"/>
          <w:szCs w:val="24"/>
        </w:rPr>
        <w:t xml:space="preserve"> (1997), “Foreign Direct Investment, Technological Change, and Economic Growth Within Europe”, </w:t>
      </w:r>
      <w:r w:rsidRPr="00B2334B">
        <w:rPr>
          <w:rFonts w:cs="Times New Roman"/>
          <w:i/>
          <w:sz w:val="24"/>
          <w:szCs w:val="24"/>
        </w:rPr>
        <w:t>Economic Journal</w:t>
      </w:r>
      <w:r w:rsidRPr="00B2334B">
        <w:rPr>
          <w:rFonts w:cs="Times New Roman"/>
          <w:sz w:val="24"/>
          <w:szCs w:val="24"/>
        </w:rPr>
        <w:t>, 107, pp. 1770-1776.</w:t>
      </w:r>
    </w:p>
    <w:p w:rsidR="00D558C2" w:rsidRPr="00B2334B" w:rsidRDefault="00D558C2" w:rsidP="00D558C2">
      <w:pPr>
        <w:ind w:left="720" w:hanging="720"/>
        <w:rPr>
          <w:rFonts w:cs="Times New Roman"/>
          <w:color w:val="000000"/>
          <w:sz w:val="24"/>
          <w:szCs w:val="24"/>
        </w:rPr>
      </w:pPr>
      <w:r w:rsidRPr="00B2334B">
        <w:rPr>
          <w:rFonts w:cs="Times New Roman"/>
          <w:color w:val="000000"/>
          <w:sz w:val="24"/>
          <w:szCs w:val="24"/>
        </w:rPr>
        <w:t>Barrell, R., Riley, R., Fitzgerald, J., (2010)</w:t>
      </w:r>
      <w:r w:rsidR="006F1CFE">
        <w:rPr>
          <w:rFonts w:cs="Times New Roman"/>
          <w:color w:val="000000"/>
          <w:sz w:val="24"/>
          <w:szCs w:val="24"/>
        </w:rPr>
        <w:t>, ‘</w:t>
      </w:r>
      <w:hyperlink r:id="rId8" w:history="1">
        <w:r w:rsidRPr="006F1CFE">
          <w:rPr>
            <w:rStyle w:val="Strong"/>
            <w:rFonts w:cs="Times New Roman"/>
            <w:b w:val="0"/>
            <w:color w:val="000000"/>
            <w:sz w:val="24"/>
            <w:szCs w:val="24"/>
          </w:rPr>
          <w:t>EU enlargement and migration: Assessing the macroeconomic impacts</w:t>
        </w:r>
      </w:hyperlink>
      <w:r w:rsidRPr="00B2334B">
        <w:rPr>
          <w:rFonts w:cs="Times New Roman"/>
          <w:color w:val="000000"/>
          <w:sz w:val="24"/>
          <w:szCs w:val="24"/>
        </w:rPr>
        <w:t>’</w:t>
      </w:r>
      <w:r w:rsidR="006F1CFE">
        <w:rPr>
          <w:rFonts w:cs="Times New Roman"/>
          <w:color w:val="000000"/>
          <w:sz w:val="24"/>
          <w:szCs w:val="24"/>
        </w:rPr>
        <w:t>,</w:t>
      </w:r>
      <w:r w:rsidRPr="00B2334B">
        <w:rPr>
          <w:rFonts w:cs="Times New Roman"/>
          <w:color w:val="000000"/>
          <w:sz w:val="24"/>
          <w:szCs w:val="24"/>
        </w:rPr>
        <w:t xml:space="preserve"> </w:t>
      </w:r>
      <w:r w:rsidRPr="00B2334B">
        <w:rPr>
          <w:rFonts w:cs="Times New Roman"/>
          <w:i/>
          <w:color w:val="000000"/>
          <w:sz w:val="24"/>
          <w:szCs w:val="24"/>
        </w:rPr>
        <w:t>Journal of Common Market Studies</w:t>
      </w:r>
      <w:r w:rsidRPr="00B2334B">
        <w:rPr>
          <w:rFonts w:cs="Times New Roman"/>
          <w:color w:val="000000"/>
          <w:sz w:val="24"/>
          <w:szCs w:val="24"/>
        </w:rPr>
        <w:t xml:space="preserve"> March</w:t>
      </w:r>
      <w:r w:rsidR="006F1CFE">
        <w:rPr>
          <w:rFonts w:cs="Times New Roman"/>
          <w:color w:val="000000"/>
          <w:sz w:val="24"/>
          <w:szCs w:val="24"/>
        </w:rPr>
        <w:t>.</w:t>
      </w:r>
    </w:p>
    <w:p w:rsidR="00D558C2" w:rsidRPr="00EF7E8C" w:rsidRDefault="00D558C2" w:rsidP="00D558C2">
      <w:pPr>
        <w:ind w:left="720" w:hanging="720"/>
        <w:jc w:val="both"/>
        <w:rPr>
          <w:rFonts w:cs="Times New Roman"/>
          <w:sz w:val="24"/>
          <w:szCs w:val="24"/>
        </w:rPr>
      </w:pPr>
      <w:r w:rsidRPr="00EF7E8C">
        <w:rPr>
          <w:rFonts w:cs="Times New Roman"/>
          <w:sz w:val="24"/>
          <w:szCs w:val="24"/>
        </w:rPr>
        <w:t xml:space="preserve">Barrell, R. and Pina, A. (2004), “How Important are Automatic Stabilisers in Europe?” </w:t>
      </w:r>
      <w:r w:rsidRPr="00EF7E8C">
        <w:rPr>
          <w:rFonts w:cs="Times New Roman"/>
          <w:i/>
          <w:sz w:val="24"/>
          <w:szCs w:val="24"/>
        </w:rPr>
        <w:t>Economic Modelling</w:t>
      </w:r>
      <w:r w:rsidRPr="00EF7E8C">
        <w:rPr>
          <w:rFonts w:cs="Times New Roman"/>
          <w:sz w:val="24"/>
          <w:szCs w:val="24"/>
        </w:rPr>
        <w:t xml:space="preserve"> vol. 21, no. 1 pp1-35</w:t>
      </w:r>
      <w:r w:rsidR="006F1CFE">
        <w:rPr>
          <w:rFonts w:cs="Times New Roman"/>
          <w:sz w:val="24"/>
          <w:szCs w:val="24"/>
        </w:rPr>
        <w:t>.</w:t>
      </w:r>
    </w:p>
    <w:p w:rsidR="00D558C2" w:rsidRPr="006F1CFE" w:rsidRDefault="00D558C2" w:rsidP="00D558C2">
      <w:pPr>
        <w:ind w:left="720" w:hanging="720"/>
        <w:rPr>
          <w:rFonts w:cstheme="minorHAnsi"/>
          <w:sz w:val="24"/>
          <w:szCs w:val="24"/>
          <w:u w:val="single"/>
        </w:rPr>
      </w:pPr>
      <w:r w:rsidRPr="006F1CFE">
        <w:rPr>
          <w:rFonts w:cstheme="minorHAnsi"/>
          <w:color w:val="000000"/>
          <w:sz w:val="24"/>
          <w:szCs w:val="24"/>
        </w:rPr>
        <w:t xml:space="preserve">Barrell, R., and </w:t>
      </w:r>
      <w:proofErr w:type="spellStart"/>
      <w:r w:rsidRPr="006F1CFE">
        <w:rPr>
          <w:rFonts w:cstheme="minorHAnsi"/>
          <w:color w:val="000000"/>
          <w:sz w:val="24"/>
          <w:szCs w:val="24"/>
        </w:rPr>
        <w:t>Weale</w:t>
      </w:r>
      <w:proofErr w:type="spellEnd"/>
      <w:r w:rsidRPr="006F1CFE">
        <w:rPr>
          <w:rFonts w:cstheme="minorHAnsi"/>
          <w:color w:val="000000"/>
          <w:sz w:val="24"/>
          <w:szCs w:val="24"/>
        </w:rPr>
        <w:t xml:space="preserve">, R., (2009) </w:t>
      </w:r>
      <w:r w:rsidRPr="006F1CFE">
        <w:rPr>
          <w:rFonts w:cstheme="minorHAnsi"/>
          <w:sz w:val="24"/>
          <w:szCs w:val="24"/>
        </w:rPr>
        <w:t xml:space="preserve">'The Economics of a Reduction in VAT' </w:t>
      </w:r>
      <w:r w:rsidRPr="006F1CFE">
        <w:rPr>
          <w:rFonts w:cstheme="minorHAnsi"/>
          <w:i/>
          <w:sz w:val="24"/>
          <w:szCs w:val="24"/>
        </w:rPr>
        <w:t xml:space="preserve">Fiscal </w:t>
      </w:r>
      <w:proofErr w:type="gramStart"/>
      <w:r w:rsidRPr="006F1CFE">
        <w:rPr>
          <w:rFonts w:cstheme="minorHAnsi"/>
          <w:i/>
          <w:sz w:val="24"/>
          <w:szCs w:val="24"/>
        </w:rPr>
        <w:t>Studies</w:t>
      </w:r>
      <w:r w:rsidR="006F1CFE">
        <w:rPr>
          <w:rFonts w:cstheme="minorHAnsi"/>
          <w:i/>
          <w:sz w:val="24"/>
          <w:szCs w:val="24"/>
        </w:rPr>
        <w:t xml:space="preserve">, </w:t>
      </w:r>
      <w:r w:rsidRPr="006F1CFE">
        <w:rPr>
          <w:rFonts w:cstheme="minorHAnsi"/>
          <w:sz w:val="24"/>
          <w:szCs w:val="24"/>
        </w:rPr>
        <w:t xml:space="preserve"> Vol.</w:t>
      </w:r>
      <w:proofErr w:type="gramEnd"/>
      <w:r w:rsidRPr="006F1CFE">
        <w:rPr>
          <w:rFonts w:cstheme="minorHAnsi"/>
          <w:sz w:val="24"/>
          <w:szCs w:val="24"/>
        </w:rPr>
        <w:t xml:space="preserve"> 30 no. 1 pp 17-30.</w:t>
      </w:r>
      <w:r w:rsidRPr="006F1CFE">
        <w:rPr>
          <w:rFonts w:cstheme="minorHAnsi"/>
          <w:sz w:val="24"/>
          <w:szCs w:val="24"/>
          <w:u w:val="single"/>
        </w:rPr>
        <w:t xml:space="preserve"> </w:t>
      </w:r>
    </w:p>
    <w:p w:rsidR="00862A9D" w:rsidRDefault="00862A9D" w:rsidP="003242E9">
      <w:pPr>
        <w:rPr>
          <w:rFonts w:ascii="Calibri" w:hAnsi="Calibri"/>
        </w:rPr>
      </w:pPr>
      <w:r>
        <w:rPr>
          <w:rFonts w:ascii="Calibri" w:hAnsi="Calibri"/>
        </w:rPr>
        <w:t xml:space="preserve">Barrell, R. and </w:t>
      </w:r>
      <w:proofErr w:type="spellStart"/>
      <w:r>
        <w:rPr>
          <w:rFonts w:ascii="Calibri" w:hAnsi="Calibri"/>
        </w:rPr>
        <w:t>Weale</w:t>
      </w:r>
      <w:proofErr w:type="spellEnd"/>
      <w:r>
        <w:rPr>
          <w:rFonts w:ascii="Calibri" w:hAnsi="Calibri"/>
        </w:rPr>
        <w:t>, M</w:t>
      </w:r>
      <w:r w:rsidR="006F1CFE">
        <w:rPr>
          <w:rFonts w:ascii="Calibri" w:hAnsi="Calibri"/>
        </w:rPr>
        <w:t>.</w:t>
      </w:r>
      <w:r>
        <w:rPr>
          <w:rFonts w:ascii="Calibri" w:hAnsi="Calibri"/>
        </w:rPr>
        <w:t xml:space="preserve"> (2010), ‘</w:t>
      </w:r>
      <w:r>
        <w:rPr>
          <w:rStyle w:val="st"/>
        </w:rPr>
        <w:t xml:space="preserve">Fiscal policy, fairness between generations, and national saving’. </w:t>
      </w:r>
      <w:r>
        <w:rPr>
          <w:rStyle w:val="Emphasis"/>
        </w:rPr>
        <w:t>Oxford Review of Economic Policy</w:t>
      </w:r>
      <w:r>
        <w:rPr>
          <w:rStyle w:val="st"/>
        </w:rPr>
        <w:t>. 26(1): 87-116</w:t>
      </w:r>
      <w:r w:rsidR="006F1CFE">
        <w:rPr>
          <w:rStyle w:val="st"/>
        </w:rPr>
        <w:t>.</w:t>
      </w:r>
    </w:p>
    <w:p w:rsidR="003242E9" w:rsidRDefault="003242E9" w:rsidP="003242E9">
      <w:pPr>
        <w:rPr>
          <w:rFonts w:ascii="Calibri" w:hAnsi="Calibri"/>
          <w:color w:val="1F497D"/>
        </w:rPr>
      </w:pPr>
      <w:r>
        <w:rPr>
          <w:rFonts w:ascii="Calibri" w:hAnsi="Calibri"/>
        </w:rPr>
        <w:t xml:space="preserve">Blake, A. and P. </w:t>
      </w:r>
      <w:proofErr w:type="gramStart"/>
      <w:r>
        <w:rPr>
          <w:rFonts w:ascii="Calibri" w:hAnsi="Calibri"/>
        </w:rPr>
        <w:t>Westaway  (</w:t>
      </w:r>
      <w:proofErr w:type="gramEnd"/>
      <w:r>
        <w:rPr>
          <w:rFonts w:ascii="Calibri" w:hAnsi="Calibri"/>
        </w:rPr>
        <w:t>1994), ‘</w:t>
      </w:r>
      <w:r>
        <w:rPr>
          <w:rFonts w:ascii="Calibri" w:hAnsi="Calibri"/>
          <w:lang w:val="en"/>
        </w:rPr>
        <w:t>Targeting inflation with nominal interest rates’, NIESR WP No. 70</w:t>
      </w:r>
    </w:p>
    <w:p w:rsidR="003242E9" w:rsidRDefault="003242E9" w:rsidP="003242E9">
      <w:pPr>
        <w:autoSpaceDE w:val="0"/>
        <w:autoSpaceDN w:val="0"/>
        <w:rPr>
          <w:rFonts w:ascii="Calibri" w:hAnsi="Calibri"/>
        </w:rPr>
      </w:pPr>
      <w:r>
        <w:rPr>
          <w:rFonts w:ascii="Calibri" w:hAnsi="Calibri"/>
        </w:rPr>
        <w:t xml:space="preserve">Blake, A. and P. </w:t>
      </w:r>
      <w:proofErr w:type="gramStart"/>
      <w:r>
        <w:rPr>
          <w:rFonts w:ascii="Calibri" w:hAnsi="Calibri"/>
        </w:rPr>
        <w:t>Westaway  (</w:t>
      </w:r>
      <w:proofErr w:type="gramEnd"/>
      <w:r>
        <w:rPr>
          <w:rFonts w:ascii="Calibri" w:hAnsi="Calibri"/>
        </w:rPr>
        <w:t xml:space="preserve">1996), ‘Credibility and the Effectiveness of Inflation Targeting Regimes’, </w:t>
      </w:r>
      <w:r w:rsidRPr="006F1CFE">
        <w:rPr>
          <w:rFonts w:ascii="Calibri" w:hAnsi="Calibri"/>
          <w:i/>
        </w:rPr>
        <w:t>Manchester School</w:t>
      </w:r>
      <w:r>
        <w:rPr>
          <w:rFonts w:ascii="Calibri" w:hAnsi="Calibri"/>
        </w:rPr>
        <w:t xml:space="preserve"> LXIV, 28–50</w:t>
      </w:r>
    </w:p>
    <w:p w:rsidR="003242E9" w:rsidRDefault="003242E9" w:rsidP="003242E9">
      <w:pPr>
        <w:autoSpaceDE w:val="0"/>
        <w:autoSpaceDN w:val="0"/>
        <w:rPr>
          <w:rFonts w:ascii="Calibri" w:hAnsi="Calibri"/>
        </w:rPr>
      </w:pPr>
      <w:r>
        <w:rPr>
          <w:rFonts w:ascii="Calibri" w:hAnsi="Calibri"/>
        </w:rPr>
        <w:t xml:space="preserve">Blake, A. (1996) ‘Forecast Error Bounds by Stochastic Simulation’, </w:t>
      </w:r>
      <w:r w:rsidRPr="006F1CFE">
        <w:rPr>
          <w:rFonts w:ascii="Calibri" w:hAnsi="Calibri"/>
          <w:i/>
        </w:rPr>
        <w:t>National Institute Economic Review</w:t>
      </w:r>
      <w:r>
        <w:rPr>
          <w:rFonts w:ascii="Calibri" w:hAnsi="Calibri"/>
        </w:rPr>
        <w:t xml:space="preserve"> 156, 72–79.</w:t>
      </w:r>
    </w:p>
    <w:p w:rsidR="003242E9" w:rsidRDefault="003242E9" w:rsidP="003242E9">
      <w:pPr>
        <w:autoSpaceDE w:val="0"/>
        <w:autoSpaceDN w:val="0"/>
        <w:rPr>
          <w:rFonts w:ascii="Calibri" w:hAnsi="Calibri"/>
        </w:rPr>
      </w:pPr>
      <w:r>
        <w:rPr>
          <w:rFonts w:ascii="Calibri" w:hAnsi="Calibri"/>
        </w:rPr>
        <w:t xml:space="preserve">Blake, A. and P. </w:t>
      </w:r>
      <w:proofErr w:type="gramStart"/>
      <w:r>
        <w:rPr>
          <w:rFonts w:ascii="Calibri" w:hAnsi="Calibri"/>
        </w:rPr>
        <w:t>Westaway  (</w:t>
      </w:r>
      <w:proofErr w:type="gramEnd"/>
      <w:r>
        <w:rPr>
          <w:rFonts w:ascii="Calibri" w:hAnsi="Calibri"/>
        </w:rPr>
        <w:t>1995), ‘An Analysis of the Impact of Finite Horizons on Macroeconomic Control’, Oxford Economic Papers 47, 98–116</w:t>
      </w:r>
      <w:r w:rsidR="0064773C">
        <w:rPr>
          <w:rFonts w:ascii="Calibri" w:hAnsi="Calibri"/>
        </w:rPr>
        <w:t>.</w:t>
      </w:r>
    </w:p>
    <w:p w:rsidR="002B7E9E" w:rsidRPr="002B7E9E" w:rsidRDefault="002B7E9E" w:rsidP="003242E9">
      <w:pPr>
        <w:autoSpaceDE w:val="0"/>
        <w:autoSpaceDN w:val="0"/>
        <w:rPr>
          <w:rFonts w:ascii="Calibri" w:hAnsi="Calibri"/>
        </w:rPr>
      </w:pPr>
      <w:r>
        <w:rPr>
          <w:rFonts w:ascii="Calibri" w:hAnsi="Calibri"/>
        </w:rPr>
        <w:t xml:space="preserve">Blanchard, O. (2018), ‘On the future of macroeconomic models’, </w:t>
      </w:r>
      <w:r>
        <w:rPr>
          <w:rFonts w:ascii="Calibri" w:hAnsi="Calibri"/>
          <w:i/>
        </w:rPr>
        <w:t xml:space="preserve">Oxford Review of Economic Policy, </w:t>
      </w:r>
      <w:r>
        <w:rPr>
          <w:rFonts w:ascii="Calibri" w:hAnsi="Calibri"/>
        </w:rPr>
        <w:t>34 (1-2), pp. 43 – 54.</w:t>
      </w:r>
    </w:p>
    <w:p w:rsidR="001544AE" w:rsidRDefault="0064773C" w:rsidP="003242E9">
      <w:pPr>
        <w:autoSpaceDE w:val="0"/>
        <w:autoSpaceDN w:val="0"/>
        <w:rPr>
          <w:rFonts w:ascii="Calibri" w:hAnsi="Calibri"/>
        </w:rPr>
      </w:pPr>
      <w:r>
        <w:rPr>
          <w:rFonts w:ascii="Calibri" w:hAnsi="Calibri"/>
        </w:rPr>
        <w:lastRenderedPageBreak/>
        <w:t>Britton, A</w:t>
      </w:r>
      <w:r w:rsidR="006F1CFE">
        <w:rPr>
          <w:rFonts w:ascii="Calibri" w:hAnsi="Calibri"/>
        </w:rPr>
        <w:t>.</w:t>
      </w:r>
      <w:r>
        <w:rPr>
          <w:rFonts w:ascii="Calibri" w:hAnsi="Calibri"/>
        </w:rPr>
        <w:t xml:space="preserve"> (1983), ‘</w:t>
      </w:r>
      <w:r w:rsidRPr="0064773C">
        <w:rPr>
          <w:rFonts w:ascii="Calibri" w:hAnsi="Calibri"/>
          <w:i/>
        </w:rPr>
        <w:t xml:space="preserve">Employment, output and inflation: </w:t>
      </w:r>
      <w:proofErr w:type="gramStart"/>
      <w:r w:rsidRPr="0064773C">
        <w:rPr>
          <w:rFonts w:ascii="Calibri" w:hAnsi="Calibri"/>
          <w:i/>
        </w:rPr>
        <w:t>the</w:t>
      </w:r>
      <w:proofErr w:type="gramEnd"/>
      <w:r w:rsidRPr="0064773C">
        <w:rPr>
          <w:rFonts w:ascii="Calibri" w:hAnsi="Calibri"/>
          <w:i/>
        </w:rPr>
        <w:t xml:space="preserve"> National Institute model of the British economy</w:t>
      </w:r>
      <w:r>
        <w:rPr>
          <w:rFonts w:ascii="Calibri" w:hAnsi="Calibri"/>
        </w:rPr>
        <w:t>’, Heinemann.</w:t>
      </w:r>
    </w:p>
    <w:p w:rsidR="001544AE" w:rsidRDefault="001544AE" w:rsidP="003242E9">
      <w:pPr>
        <w:autoSpaceDE w:val="0"/>
        <w:autoSpaceDN w:val="0"/>
        <w:rPr>
          <w:rFonts w:ascii="Calibri" w:hAnsi="Calibri"/>
        </w:rPr>
      </w:pPr>
      <w:r>
        <w:rPr>
          <w:rFonts w:ascii="Calibri" w:hAnsi="Calibri"/>
        </w:rPr>
        <w:t xml:space="preserve">Carreras, O. Davis, P., Hurst, I., </w:t>
      </w:r>
      <w:proofErr w:type="spellStart"/>
      <w:r>
        <w:rPr>
          <w:rFonts w:ascii="Calibri" w:hAnsi="Calibri"/>
        </w:rPr>
        <w:t>Liadze</w:t>
      </w:r>
      <w:proofErr w:type="spellEnd"/>
      <w:r>
        <w:rPr>
          <w:rFonts w:ascii="Calibri" w:hAnsi="Calibri"/>
        </w:rPr>
        <w:t xml:space="preserve">, I., Piggott, R. and Warren, J. (2018), ‘Implementing macroprudential policy in </w:t>
      </w:r>
      <w:proofErr w:type="spellStart"/>
      <w:r>
        <w:rPr>
          <w:rFonts w:ascii="Calibri" w:hAnsi="Calibri"/>
        </w:rPr>
        <w:t>NiGEM</w:t>
      </w:r>
      <w:proofErr w:type="spellEnd"/>
      <w:r>
        <w:rPr>
          <w:rFonts w:ascii="Calibri" w:hAnsi="Calibri"/>
        </w:rPr>
        <w:t>’, NIESR Discussion Paper No. 490.</w:t>
      </w:r>
    </w:p>
    <w:p w:rsidR="002B6D39" w:rsidRDefault="002B6D39" w:rsidP="003242E9">
      <w:pPr>
        <w:autoSpaceDE w:val="0"/>
        <w:autoSpaceDN w:val="0"/>
        <w:rPr>
          <w:rFonts w:ascii="Calibri" w:hAnsi="Calibri"/>
        </w:rPr>
      </w:pPr>
      <w:r>
        <w:rPr>
          <w:rFonts w:ascii="Calibri" w:hAnsi="Calibri"/>
        </w:rPr>
        <w:t>Chadha, J</w:t>
      </w:r>
      <w:r w:rsidR="006F1CFE">
        <w:rPr>
          <w:rFonts w:ascii="Calibri" w:hAnsi="Calibri"/>
        </w:rPr>
        <w:t>.</w:t>
      </w:r>
      <w:r>
        <w:rPr>
          <w:rFonts w:ascii="Calibri" w:hAnsi="Calibri"/>
        </w:rPr>
        <w:t xml:space="preserve"> (2017), ‘Why forecast?</w:t>
      </w:r>
      <w:proofErr w:type="gramStart"/>
      <w:r>
        <w:rPr>
          <w:rFonts w:ascii="Calibri" w:hAnsi="Calibri"/>
        </w:rPr>
        <w:t xml:space="preserve">’,  </w:t>
      </w:r>
      <w:r w:rsidRPr="00862A9D">
        <w:rPr>
          <w:rFonts w:ascii="Calibri" w:hAnsi="Calibri"/>
          <w:i/>
        </w:rPr>
        <w:t>National</w:t>
      </w:r>
      <w:proofErr w:type="gramEnd"/>
      <w:r w:rsidRPr="00862A9D">
        <w:rPr>
          <w:rFonts w:ascii="Calibri" w:hAnsi="Calibri"/>
          <w:i/>
        </w:rPr>
        <w:t xml:space="preserve"> Institute Economic Review</w:t>
      </w:r>
      <w:r>
        <w:rPr>
          <w:rFonts w:ascii="Calibri" w:hAnsi="Calibri"/>
        </w:rPr>
        <w:t>, 2</w:t>
      </w:r>
      <w:r>
        <w:rPr>
          <w:rFonts w:ascii="Calibri" w:hAnsi="Calibri"/>
        </w:rPr>
        <w:t>39</w:t>
      </w:r>
      <w:r>
        <w:rPr>
          <w:rFonts w:ascii="Calibri" w:hAnsi="Calibri"/>
        </w:rPr>
        <w:t xml:space="preserve">, </w:t>
      </w:r>
      <w:r>
        <w:rPr>
          <w:rFonts w:ascii="Calibri" w:hAnsi="Calibri"/>
        </w:rPr>
        <w:t>F4</w:t>
      </w:r>
      <w:r>
        <w:rPr>
          <w:rFonts w:ascii="Calibri" w:hAnsi="Calibri"/>
        </w:rPr>
        <w:t xml:space="preserve"> – </w:t>
      </w:r>
      <w:r>
        <w:rPr>
          <w:rFonts w:ascii="Calibri" w:hAnsi="Calibri"/>
        </w:rPr>
        <w:t>F9.</w:t>
      </w:r>
    </w:p>
    <w:p w:rsidR="001544AE" w:rsidRDefault="001544AE" w:rsidP="003242E9">
      <w:pPr>
        <w:autoSpaceDE w:val="0"/>
        <w:autoSpaceDN w:val="0"/>
        <w:rPr>
          <w:rFonts w:ascii="Calibri" w:hAnsi="Calibri"/>
        </w:rPr>
      </w:pPr>
      <w:proofErr w:type="spellStart"/>
      <w:r>
        <w:rPr>
          <w:rFonts w:ascii="Calibri" w:hAnsi="Calibri"/>
        </w:rPr>
        <w:t>Ebell</w:t>
      </w:r>
      <w:proofErr w:type="spellEnd"/>
      <w:r>
        <w:rPr>
          <w:rFonts w:ascii="Calibri" w:hAnsi="Calibri"/>
        </w:rPr>
        <w:t xml:space="preserve">, M., Hurst, I. and Warren, J. (2016), ‘Modelling the long run economic impact of leaving the European Union’, </w:t>
      </w:r>
      <w:r w:rsidRPr="001544AE">
        <w:rPr>
          <w:rFonts w:ascii="Calibri" w:hAnsi="Calibri"/>
          <w:i/>
        </w:rPr>
        <w:t>Economic Modelling</w:t>
      </w:r>
      <w:r>
        <w:rPr>
          <w:rFonts w:ascii="Calibri" w:hAnsi="Calibri"/>
        </w:rPr>
        <w:t>, 59, 196 – 209.</w:t>
      </w:r>
    </w:p>
    <w:p w:rsidR="003242E9" w:rsidRDefault="003242E9" w:rsidP="003242E9">
      <w:pPr>
        <w:rPr>
          <w:rFonts w:ascii="Calibri" w:hAnsi="Calibri"/>
        </w:rPr>
      </w:pPr>
      <w:r>
        <w:rPr>
          <w:rFonts w:ascii="Calibri" w:hAnsi="Calibri"/>
        </w:rPr>
        <w:t>Fuhrer, J</w:t>
      </w:r>
      <w:r w:rsidR="006F1CFE">
        <w:rPr>
          <w:rFonts w:ascii="Calibri" w:hAnsi="Calibri"/>
        </w:rPr>
        <w:t>.</w:t>
      </w:r>
      <w:r>
        <w:rPr>
          <w:rFonts w:ascii="Calibri" w:hAnsi="Calibri"/>
        </w:rPr>
        <w:t xml:space="preserve"> and Moore, G. (1995) Inflation Persistence, </w:t>
      </w:r>
      <w:r w:rsidRPr="006F1CFE">
        <w:rPr>
          <w:rFonts w:ascii="Calibri" w:hAnsi="Calibri"/>
          <w:i/>
        </w:rPr>
        <w:t>Quarterly Journal of Economics</w:t>
      </w:r>
      <w:r>
        <w:rPr>
          <w:rFonts w:ascii="Calibri" w:hAnsi="Calibri"/>
        </w:rPr>
        <w:t>, 109, 197-230</w:t>
      </w:r>
      <w:r w:rsidR="0064773C">
        <w:rPr>
          <w:rFonts w:ascii="Calibri" w:hAnsi="Calibri"/>
        </w:rPr>
        <w:t>.</w:t>
      </w:r>
    </w:p>
    <w:p w:rsidR="002B7E9E" w:rsidRDefault="002B7E9E" w:rsidP="003242E9">
      <w:pPr>
        <w:rPr>
          <w:rFonts w:ascii="Calibri" w:hAnsi="Calibri"/>
        </w:rPr>
      </w:pPr>
      <w:proofErr w:type="spellStart"/>
      <w:r>
        <w:rPr>
          <w:rFonts w:ascii="Calibri" w:hAnsi="Calibri"/>
        </w:rPr>
        <w:t>Hantzsche</w:t>
      </w:r>
      <w:proofErr w:type="spellEnd"/>
      <w:r>
        <w:rPr>
          <w:rFonts w:ascii="Calibri" w:hAnsi="Calibri"/>
        </w:rPr>
        <w:t xml:space="preserve">, A., </w:t>
      </w:r>
      <w:proofErr w:type="spellStart"/>
      <w:r>
        <w:rPr>
          <w:rFonts w:ascii="Calibri" w:hAnsi="Calibri"/>
        </w:rPr>
        <w:t>Lopresto</w:t>
      </w:r>
      <w:proofErr w:type="spellEnd"/>
      <w:r>
        <w:rPr>
          <w:rFonts w:ascii="Calibri" w:hAnsi="Calibri"/>
        </w:rPr>
        <w:t xml:space="preserve">, M. and Young, G. (2018), ‘Using </w:t>
      </w:r>
      <w:proofErr w:type="spellStart"/>
      <w:r>
        <w:rPr>
          <w:rFonts w:ascii="Calibri" w:hAnsi="Calibri"/>
        </w:rPr>
        <w:t>NiGEM</w:t>
      </w:r>
      <w:proofErr w:type="spellEnd"/>
      <w:r>
        <w:rPr>
          <w:rFonts w:ascii="Calibri" w:hAnsi="Calibri"/>
        </w:rPr>
        <w:t xml:space="preserve"> in uncertain times: introduction and overview of </w:t>
      </w:r>
      <w:proofErr w:type="spellStart"/>
      <w:r>
        <w:rPr>
          <w:rFonts w:ascii="Calibri" w:hAnsi="Calibri"/>
        </w:rPr>
        <w:t>NiGEM</w:t>
      </w:r>
      <w:proofErr w:type="spellEnd"/>
      <w:r>
        <w:rPr>
          <w:rFonts w:ascii="Calibri" w:hAnsi="Calibri"/>
        </w:rPr>
        <w:t xml:space="preserve">’, </w:t>
      </w:r>
      <w:r w:rsidR="00862A9D" w:rsidRPr="00862A9D">
        <w:rPr>
          <w:rFonts w:ascii="Calibri" w:hAnsi="Calibri"/>
          <w:i/>
        </w:rPr>
        <w:t>National Institute Economic Review</w:t>
      </w:r>
      <w:r w:rsidR="00862A9D">
        <w:rPr>
          <w:rFonts w:ascii="Calibri" w:hAnsi="Calibri"/>
        </w:rPr>
        <w:t>, 244, R1 – R 14.</w:t>
      </w:r>
    </w:p>
    <w:p w:rsidR="0064773C" w:rsidRDefault="0064773C" w:rsidP="003242E9">
      <w:pPr>
        <w:rPr>
          <w:rFonts w:ascii="Calibri" w:hAnsi="Calibri"/>
        </w:rPr>
      </w:pPr>
      <w:r>
        <w:rPr>
          <w:rFonts w:ascii="Calibri" w:hAnsi="Calibri"/>
        </w:rPr>
        <w:t>Jones, K. (1998), ‘</w:t>
      </w:r>
      <w:r w:rsidRPr="0064773C">
        <w:rPr>
          <w:rFonts w:ascii="Calibri" w:hAnsi="Calibri"/>
          <w:i/>
        </w:rPr>
        <w:t>Sixty years of economic research: a brief history of the National Institute of Economic and Social Research 1938 – 1998’</w:t>
      </w:r>
      <w:r>
        <w:rPr>
          <w:rFonts w:ascii="Calibri" w:hAnsi="Calibri"/>
        </w:rPr>
        <w:t>, NIESR Occasional Paper No. 52.</w:t>
      </w:r>
    </w:p>
    <w:p w:rsidR="00EF7E8C" w:rsidRDefault="00EF7E8C" w:rsidP="00EF7E8C">
      <w:pPr>
        <w:rPr>
          <w:rFonts w:ascii="Calibri" w:hAnsi="Calibri"/>
        </w:rPr>
      </w:pPr>
      <w:r>
        <w:rPr>
          <w:rFonts w:ascii="Calibri" w:hAnsi="Calibri"/>
        </w:rPr>
        <w:t xml:space="preserve">Kirby, S., </w:t>
      </w:r>
      <w:proofErr w:type="spellStart"/>
      <w:r>
        <w:rPr>
          <w:rFonts w:ascii="Calibri" w:hAnsi="Calibri"/>
        </w:rPr>
        <w:t>Paramaguru</w:t>
      </w:r>
      <w:proofErr w:type="spellEnd"/>
      <w:r>
        <w:rPr>
          <w:rFonts w:ascii="Calibri" w:hAnsi="Calibri"/>
        </w:rPr>
        <w:t xml:space="preserve">, K. and Warren, J. (2015), ‘The accuracy of NIESR’s GDP growth forecasts’, </w:t>
      </w:r>
      <w:r w:rsidRPr="00862A9D">
        <w:rPr>
          <w:rFonts w:ascii="Calibri" w:hAnsi="Calibri"/>
          <w:i/>
        </w:rPr>
        <w:t>National Institute Economic Review</w:t>
      </w:r>
      <w:r>
        <w:rPr>
          <w:rFonts w:ascii="Calibri" w:hAnsi="Calibri"/>
        </w:rPr>
        <w:t>, 232, F41 – F47.</w:t>
      </w:r>
    </w:p>
    <w:p w:rsidR="00EF7E8C" w:rsidRDefault="00EF7E8C" w:rsidP="00EF7E8C">
      <w:pPr>
        <w:rPr>
          <w:rFonts w:ascii="Calibri" w:hAnsi="Calibri"/>
        </w:rPr>
      </w:pPr>
      <w:r>
        <w:rPr>
          <w:rFonts w:ascii="Calibri" w:hAnsi="Calibri"/>
        </w:rPr>
        <w:t xml:space="preserve">Mitchell, J. (2005), ‘The National Institute density forecasts of inflation’, </w:t>
      </w:r>
      <w:r w:rsidRPr="00862A9D">
        <w:rPr>
          <w:rFonts w:ascii="Calibri" w:hAnsi="Calibri"/>
          <w:i/>
        </w:rPr>
        <w:t>National Institute Economic Review</w:t>
      </w:r>
      <w:r>
        <w:rPr>
          <w:rFonts w:ascii="Calibri" w:hAnsi="Calibri"/>
        </w:rPr>
        <w:t>, July.</w:t>
      </w:r>
    </w:p>
    <w:p w:rsidR="009F6E8A" w:rsidRDefault="009F6E8A" w:rsidP="003242E9">
      <w:r>
        <w:rPr>
          <w:rFonts w:ascii="Calibri" w:hAnsi="Calibri"/>
        </w:rPr>
        <w:t xml:space="preserve">Pain, N., </w:t>
      </w:r>
      <w:proofErr w:type="spellStart"/>
      <w:r>
        <w:rPr>
          <w:rFonts w:ascii="Calibri" w:hAnsi="Calibri"/>
        </w:rPr>
        <w:t>Weale</w:t>
      </w:r>
      <w:proofErr w:type="spellEnd"/>
      <w:r>
        <w:rPr>
          <w:rFonts w:ascii="Calibri" w:hAnsi="Calibri"/>
        </w:rPr>
        <w:t>, M. and Young, G. (1997), ‘</w:t>
      </w:r>
      <w:r>
        <w:t xml:space="preserve">Britain’s fiscal problems’, </w:t>
      </w:r>
      <w:r w:rsidRPr="0049692D">
        <w:rPr>
          <w:i/>
        </w:rPr>
        <w:t>Economic Journal</w:t>
      </w:r>
      <w:r>
        <w:t>, July 1997, 107(443), 1142-56.</w:t>
      </w:r>
    </w:p>
    <w:p w:rsidR="009F6E8A" w:rsidRDefault="009F6E8A" w:rsidP="003242E9">
      <w:pPr>
        <w:rPr>
          <w:rFonts w:ascii="Calibri" w:hAnsi="Calibri"/>
        </w:rPr>
      </w:pPr>
      <w:r>
        <w:t xml:space="preserve">Pain, N. and Young, G. (2004), ‘The Macroeconomic Impact of UK withdrawal from the EU’, </w:t>
      </w:r>
      <w:r>
        <w:rPr>
          <w:i/>
        </w:rPr>
        <w:t>Economic Modelling</w:t>
      </w:r>
      <w:r>
        <w:t>, 21(3</w:t>
      </w:r>
      <w:proofErr w:type="gramStart"/>
      <w:r>
        <w:t>),  387</w:t>
      </w:r>
      <w:proofErr w:type="gramEnd"/>
      <w:r>
        <w:t>-408,  May 2004</w:t>
      </w:r>
    </w:p>
    <w:p w:rsidR="00B2334B" w:rsidRDefault="00B2334B" w:rsidP="0064773C">
      <w:pPr>
        <w:rPr>
          <w:rFonts w:ascii="Calibri" w:hAnsi="Calibri"/>
        </w:rPr>
      </w:pPr>
      <w:r>
        <w:rPr>
          <w:rFonts w:ascii="Calibri" w:hAnsi="Calibri"/>
        </w:rPr>
        <w:t>Riley, R. and Young, G. (2007), ‘</w:t>
      </w:r>
      <w:r>
        <w:t xml:space="preserve">Skill heterogeneity and equilibrium unemployment’, </w:t>
      </w:r>
      <w:r w:rsidRPr="000F57FF">
        <w:rPr>
          <w:i/>
        </w:rPr>
        <w:t>Oxford Economic Papers</w:t>
      </w:r>
      <w:r>
        <w:t>, October 2007, 59(4), 702-25</w:t>
      </w:r>
    </w:p>
    <w:p w:rsidR="0064773C" w:rsidRDefault="0064773C" w:rsidP="0064773C">
      <w:pPr>
        <w:rPr>
          <w:rFonts w:ascii="Calibri" w:hAnsi="Calibri"/>
        </w:rPr>
      </w:pPr>
      <w:r>
        <w:rPr>
          <w:rFonts w:ascii="Calibri" w:hAnsi="Calibri"/>
        </w:rPr>
        <w:t>Surrey, M. (1971), ‘</w:t>
      </w:r>
      <w:r w:rsidRPr="0064773C">
        <w:rPr>
          <w:rFonts w:ascii="Calibri" w:hAnsi="Calibri"/>
          <w:i/>
        </w:rPr>
        <w:t>The analysis and forecasting of the British economy</w:t>
      </w:r>
      <w:r>
        <w:rPr>
          <w:rFonts w:ascii="Calibri" w:hAnsi="Calibri"/>
        </w:rPr>
        <w:t>’, NIESR Occasional Paper No. 25, Cambridge University Press.</w:t>
      </w:r>
    </w:p>
    <w:p w:rsidR="003242E9" w:rsidRDefault="003242E9" w:rsidP="003242E9">
      <w:pPr>
        <w:rPr>
          <w:rFonts w:ascii="Calibri" w:hAnsi="Calibri"/>
        </w:rPr>
      </w:pPr>
      <w:r>
        <w:rPr>
          <w:rFonts w:ascii="Calibri" w:hAnsi="Calibri"/>
        </w:rPr>
        <w:t>Taylor, J. B. (1993) Discretion Versus Policy Rules in Practice, Carnegie-Rochester Conference Series on Public Policy, 39 195-214</w:t>
      </w:r>
      <w:r w:rsidR="00862A9D">
        <w:rPr>
          <w:rFonts w:ascii="Calibri" w:hAnsi="Calibri"/>
        </w:rPr>
        <w:t>.</w:t>
      </w:r>
    </w:p>
    <w:p w:rsidR="00862A9D" w:rsidRDefault="00862A9D" w:rsidP="003242E9">
      <w:pPr>
        <w:rPr>
          <w:rFonts w:ascii="Calibri" w:hAnsi="Calibri"/>
        </w:rPr>
      </w:pPr>
      <w:r>
        <w:rPr>
          <w:rFonts w:ascii="Calibri" w:hAnsi="Calibri"/>
        </w:rPr>
        <w:t xml:space="preserve">Vines, D. and Wills, S. (2018), Rebuilding macroeconomic theory, </w:t>
      </w:r>
      <w:r>
        <w:rPr>
          <w:rStyle w:val="Emphasis"/>
        </w:rPr>
        <w:t>Oxford Review</w:t>
      </w:r>
      <w:r>
        <w:rPr>
          <w:rStyle w:val="st"/>
        </w:rPr>
        <w:t xml:space="preserve"> of Economic Policy, Volume 34, Issue 1-2. </w:t>
      </w:r>
    </w:p>
    <w:p w:rsidR="0064773C" w:rsidRDefault="0064773C" w:rsidP="0064773C">
      <w:pPr>
        <w:autoSpaceDE w:val="0"/>
        <w:autoSpaceDN w:val="0"/>
        <w:rPr>
          <w:rFonts w:ascii="Calibri" w:hAnsi="Calibri"/>
        </w:rPr>
      </w:pPr>
      <w:proofErr w:type="spellStart"/>
      <w:r>
        <w:rPr>
          <w:rFonts w:ascii="Calibri" w:hAnsi="Calibri"/>
        </w:rPr>
        <w:t>Weale</w:t>
      </w:r>
      <w:proofErr w:type="spellEnd"/>
      <w:r>
        <w:rPr>
          <w:rFonts w:ascii="Calibri" w:hAnsi="Calibri"/>
        </w:rPr>
        <w:t>, M. (1998), ‘Foreword’ in Jones (1998).</w:t>
      </w:r>
    </w:p>
    <w:p w:rsidR="003242E9" w:rsidRDefault="003242E9" w:rsidP="003242E9">
      <w:pPr>
        <w:autoSpaceDE w:val="0"/>
        <w:autoSpaceDN w:val="0"/>
        <w:rPr>
          <w:rFonts w:ascii="Calibri" w:hAnsi="Calibri"/>
        </w:rPr>
      </w:pPr>
      <w:proofErr w:type="spellStart"/>
      <w:r>
        <w:rPr>
          <w:rFonts w:ascii="Calibri" w:hAnsi="Calibri"/>
        </w:rPr>
        <w:t>Weale</w:t>
      </w:r>
      <w:proofErr w:type="spellEnd"/>
      <w:r>
        <w:rPr>
          <w:rFonts w:ascii="Calibri" w:hAnsi="Calibri"/>
        </w:rPr>
        <w:t>, M.</w:t>
      </w:r>
      <w:proofErr w:type="gramStart"/>
      <w:r>
        <w:rPr>
          <w:rFonts w:ascii="Calibri" w:hAnsi="Calibri"/>
        </w:rPr>
        <w:t>,  A.</w:t>
      </w:r>
      <w:proofErr w:type="gramEnd"/>
      <w:r>
        <w:rPr>
          <w:rFonts w:ascii="Calibri" w:hAnsi="Calibri"/>
        </w:rPr>
        <w:t xml:space="preserve"> Blake, N. </w:t>
      </w:r>
      <w:proofErr w:type="spellStart"/>
      <w:r>
        <w:rPr>
          <w:rFonts w:ascii="Calibri" w:hAnsi="Calibri"/>
        </w:rPr>
        <w:t>Christodoulakis</w:t>
      </w:r>
      <w:proofErr w:type="spellEnd"/>
      <w:r>
        <w:rPr>
          <w:rFonts w:ascii="Calibri" w:hAnsi="Calibri"/>
        </w:rPr>
        <w:t>, J. Meade and D. Vines  (1989)</w:t>
      </w:r>
      <w:r w:rsidR="001544AE">
        <w:rPr>
          <w:rFonts w:ascii="Calibri" w:hAnsi="Calibri"/>
        </w:rPr>
        <w:t>,</w:t>
      </w:r>
      <w:r>
        <w:rPr>
          <w:rFonts w:ascii="Calibri" w:hAnsi="Calibri"/>
        </w:rPr>
        <w:t xml:space="preserve"> </w:t>
      </w:r>
      <w:r w:rsidR="001544AE">
        <w:rPr>
          <w:rFonts w:ascii="Calibri" w:hAnsi="Calibri"/>
        </w:rPr>
        <w:t>‘</w:t>
      </w:r>
      <w:r w:rsidRPr="001544AE">
        <w:rPr>
          <w:rFonts w:ascii="Calibri" w:hAnsi="Calibri"/>
          <w:i/>
        </w:rPr>
        <w:t>Macroeconomic Policy: Inflation, Wealth and the Exchange Rate</w:t>
      </w:r>
      <w:r w:rsidR="001544AE">
        <w:rPr>
          <w:rFonts w:ascii="Calibri" w:hAnsi="Calibri"/>
        </w:rPr>
        <w:t>’</w:t>
      </w:r>
      <w:r>
        <w:rPr>
          <w:rFonts w:ascii="Calibri" w:hAnsi="Calibri"/>
        </w:rPr>
        <w:t>, Unwin Hyman.</w:t>
      </w:r>
    </w:p>
    <w:p w:rsidR="001544AE" w:rsidRDefault="00B2334B" w:rsidP="001544AE">
      <w:pPr>
        <w:rPr>
          <w:rFonts w:ascii="Calibri" w:hAnsi="Calibri"/>
        </w:rPr>
      </w:pPr>
      <w:r>
        <w:rPr>
          <w:rFonts w:ascii="Calibri" w:hAnsi="Calibri"/>
        </w:rPr>
        <w:t>Westaway (1995), ‘</w:t>
      </w:r>
      <w:r w:rsidR="001544AE" w:rsidRPr="001544AE">
        <w:rPr>
          <w:rFonts w:ascii="Calibri" w:hAnsi="Calibri"/>
        </w:rPr>
        <w:t>The Role of Macroeconomic Models in the Policy Design Process</w:t>
      </w:r>
      <w:r w:rsidR="001544AE">
        <w:rPr>
          <w:rFonts w:ascii="Calibri" w:hAnsi="Calibri"/>
        </w:rPr>
        <w:t xml:space="preserve">’, </w:t>
      </w:r>
      <w:r w:rsidR="001544AE" w:rsidRPr="00862A9D">
        <w:rPr>
          <w:rFonts w:ascii="Calibri" w:hAnsi="Calibri"/>
          <w:i/>
        </w:rPr>
        <w:t>National Institute Economic Review</w:t>
      </w:r>
      <w:r w:rsidR="001544AE">
        <w:rPr>
          <w:rFonts w:ascii="Calibri" w:hAnsi="Calibri"/>
        </w:rPr>
        <w:t xml:space="preserve">, </w:t>
      </w:r>
      <w:r w:rsidR="001544AE">
        <w:rPr>
          <w:rFonts w:ascii="Calibri" w:hAnsi="Calibri"/>
        </w:rPr>
        <w:t xml:space="preserve">February, 53 - </w:t>
      </w:r>
    </w:p>
    <w:p w:rsidR="0064773C" w:rsidRDefault="0064773C" w:rsidP="003242E9">
      <w:pPr>
        <w:autoSpaceDE w:val="0"/>
        <w:autoSpaceDN w:val="0"/>
        <w:rPr>
          <w:rFonts w:ascii="Calibri" w:hAnsi="Calibri"/>
        </w:rPr>
      </w:pPr>
      <w:proofErr w:type="spellStart"/>
      <w:r>
        <w:rPr>
          <w:rFonts w:ascii="Calibri" w:hAnsi="Calibri"/>
        </w:rPr>
        <w:t>Worswick</w:t>
      </w:r>
      <w:proofErr w:type="spellEnd"/>
      <w:r>
        <w:rPr>
          <w:rFonts w:ascii="Calibri" w:hAnsi="Calibri"/>
        </w:rPr>
        <w:t>, D. (1971), ‘Introduction’ in Surrey (1971).</w:t>
      </w:r>
    </w:p>
    <w:p w:rsidR="003242E9" w:rsidRDefault="003242E9" w:rsidP="003242E9">
      <w:pPr>
        <w:autoSpaceDE w:val="0"/>
        <w:autoSpaceDN w:val="0"/>
        <w:rPr>
          <w:rFonts w:ascii="Calibri" w:hAnsi="Calibri"/>
        </w:rPr>
      </w:pPr>
    </w:p>
    <w:p w:rsidR="00EA0C33" w:rsidRDefault="00EA0C33" w:rsidP="00CF410D">
      <w:pPr>
        <w:autoSpaceDE w:val="0"/>
        <w:autoSpaceDN w:val="0"/>
        <w:rPr>
          <w:rFonts w:ascii="Calibri" w:hAnsi="Calibri"/>
          <w:color w:val="1F497D"/>
        </w:rPr>
      </w:pPr>
    </w:p>
    <w:sectPr w:rsidR="00EA0C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57" w:rsidRDefault="00A60357" w:rsidP="002500A0">
      <w:pPr>
        <w:spacing w:after="0" w:line="240" w:lineRule="auto"/>
      </w:pPr>
      <w:r>
        <w:separator/>
      </w:r>
    </w:p>
  </w:endnote>
  <w:endnote w:type="continuationSeparator" w:id="0">
    <w:p w:rsidR="00A60357" w:rsidRDefault="00A60357" w:rsidP="0025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151593"/>
      <w:docPartObj>
        <w:docPartGallery w:val="Page Numbers (Bottom of Page)"/>
        <w:docPartUnique/>
      </w:docPartObj>
    </w:sdtPr>
    <w:sdtEndPr>
      <w:rPr>
        <w:noProof/>
      </w:rPr>
    </w:sdtEndPr>
    <w:sdtContent>
      <w:p w:rsidR="00841606" w:rsidRDefault="00841606">
        <w:pPr>
          <w:pStyle w:val="Footer"/>
          <w:jc w:val="center"/>
        </w:pPr>
        <w:r>
          <w:fldChar w:fldCharType="begin"/>
        </w:r>
        <w:r>
          <w:instrText xml:space="preserve"> PAGE   \* MERGEFORMAT </w:instrText>
        </w:r>
        <w:r>
          <w:fldChar w:fldCharType="separate"/>
        </w:r>
        <w:r w:rsidR="005B7A00">
          <w:rPr>
            <w:noProof/>
          </w:rPr>
          <w:t>1</w:t>
        </w:r>
        <w:r>
          <w:rPr>
            <w:noProof/>
          </w:rPr>
          <w:fldChar w:fldCharType="end"/>
        </w:r>
      </w:p>
    </w:sdtContent>
  </w:sdt>
  <w:p w:rsidR="00841606" w:rsidRDefault="00841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57" w:rsidRDefault="00A60357" w:rsidP="002500A0">
      <w:pPr>
        <w:spacing w:after="0" w:line="240" w:lineRule="auto"/>
      </w:pPr>
      <w:r>
        <w:separator/>
      </w:r>
    </w:p>
  </w:footnote>
  <w:footnote w:type="continuationSeparator" w:id="0">
    <w:p w:rsidR="00A60357" w:rsidRDefault="00A60357" w:rsidP="002500A0">
      <w:pPr>
        <w:spacing w:after="0" w:line="240" w:lineRule="auto"/>
      </w:pPr>
      <w:r>
        <w:continuationSeparator/>
      </w:r>
    </w:p>
  </w:footnote>
  <w:footnote w:id="1">
    <w:p w:rsidR="00841606" w:rsidRDefault="00841606">
      <w:pPr>
        <w:pStyle w:val="FootnoteText"/>
      </w:pPr>
      <w:r>
        <w:rPr>
          <w:rStyle w:val="FootnoteReference"/>
        </w:rPr>
        <w:footnoteRef/>
      </w:r>
      <w:r>
        <w:t xml:space="preserve"> We are grateful to Jagjit Chadha for comments on an earlier draft and to all current and former colleagues at the Institute who have contributed to the development of macroeconomic modelling.    </w:t>
      </w:r>
    </w:p>
  </w:footnote>
  <w:footnote w:id="2">
    <w:p w:rsidR="00841606" w:rsidRDefault="00841606">
      <w:pPr>
        <w:pStyle w:val="FootnoteText"/>
      </w:pPr>
      <w:r>
        <w:rPr>
          <w:rStyle w:val="FootnoteReference"/>
        </w:rPr>
        <w:footnoteRef/>
      </w:r>
      <w:r>
        <w:t xml:space="preserve"> A forecast was not published </w:t>
      </w:r>
      <w:r w:rsidR="0063235F">
        <w:t>at the end</w:t>
      </w:r>
      <w:r>
        <w:t xml:space="preserve"> of the tenure of David </w:t>
      </w:r>
      <w:proofErr w:type="spellStart"/>
      <w:r>
        <w:t>Worswick</w:t>
      </w:r>
      <w:proofErr w:type="spellEnd"/>
      <w:r>
        <w:t xml:space="preserve"> as Director as he wished to see a retrospective on the work he had led</w:t>
      </w:r>
      <w:r w:rsidR="00CC16F9">
        <w:t xml:space="preserve"> between 1965 and 1982. The other d</w:t>
      </w:r>
      <w:r w:rsidR="0063235F">
        <w:t>i</w:t>
      </w:r>
      <w:r w:rsidR="00CC16F9">
        <w:t>rectors were Andrew Britton (1982-1995)</w:t>
      </w:r>
      <w:r w:rsidR="0063235F">
        <w:t xml:space="preserve">, Martin </w:t>
      </w:r>
      <w:proofErr w:type="spellStart"/>
      <w:r w:rsidR="0063235F">
        <w:t>Weale</w:t>
      </w:r>
      <w:proofErr w:type="spellEnd"/>
      <w:r w:rsidR="0063235F">
        <w:t xml:space="preserve"> (1995-2010), Jonathan </w:t>
      </w:r>
      <w:proofErr w:type="spellStart"/>
      <w:r w:rsidR="0063235F">
        <w:t>Portes</w:t>
      </w:r>
      <w:proofErr w:type="spellEnd"/>
      <w:r w:rsidR="0063235F">
        <w:t xml:space="preserve"> (2011-2015) and </w:t>
      </w:r>
      <w:proofErr w:type="spellStart"/>
      <w:r w:rsidR="0063235F">
        <w:t>Jadgit</w:t>
      </w:r>
      <w:proofErr w:type="spellEnd"/>
      <w:r w:rsidR="0063235F">
        <w:t xml:space="preserve"> </w:t>
      </w:r>
      <w:proofErr w:type="spellStart"/>
      <w:r w:rsidR="0063235F">
        <w:t>Chada</w:t>
      </w:r>
      <w:proofErr w:type="spellEnd"/>
      <w:r w:rsidR="0063235F">
        <w:t xml:space="preserve"> (2016 to date)</w:t>
      </w:r>
      <w:r w:rsidR="00CC16F9">
        <w:t xml:space="preserve"> </w:t>
      </w:r>
      <w:r>
        <w:t xml:space="preserve"> </w:t>
      </w:r>
    </w:p>
  </w:footnote>
  <w:footnote w:id="3">
    <w:p w:rsidR="00841606" w:rsidRDefault="00841606">
      <w:pPr>
        <w:pStyle w:val="FootnoteText"/>
      </w:pPr>
      <w:r>
        <w:rPr>
          <w:rStyle w:val="FootnoteReference"/>
        </w:rPr>
        <w:footnoteRef/>
      </w:r>
      <w:r>
        <w:t xml:space="preserve"> This group covered much of the rest of our period, with Westaway leaving in 1996</w:t>
      </w:r>
      <w:r w:rsidRPr="007F017C">
        <w:t xml:space="preserve"> </w:t>
      </w:r>
      <w:r>
        <w:t>and Blake in 2002, whilst Young left in 2000 before returning in 2017. They all moved on to the Bank. Pain left in 2002 for the OECD and Barrell left in 2011 to return to Brunel University London.</w:t>
      </w:r>
    </w:p>
  </w:footnote>
  <w:footnote w:id="4">
    <w:p w:rsidR="00841606" w:rsidRPr="0006070C" w:rsidRDefault="00841606">
      <w:pPr>
        <w:pStyle w:val="FootnoteText"/>
      </w:pPr>
      <w:r w:rsidRPr="0006070C">
        <w:rPr>
          <w:rStyle w:val="FootnoteReference"/>
        </w:rPr>
        <w:footnoteRef/>
      </w:r>
      <w:r w:rsidRPr="0006070C">
        <w:t xml:space="preserve"> </w:t>
      </w:r>
      <w:r w:rsidRPr="003F7C6D">
        <w:rPr>
          <w:rFonts w:cstheme="minorHAnsi"/>
        </w:rPr>
        <w:t xml:space="preserve">An excellent discussion of the state of DSGE models is the Vines and Wills summary article in the 2018 special issue of </w:t>
      </w:r>
      <w:r w:rsidRPr="003F7C6D">
        <w:rPr>
          <w:rFonts w:cstheme="minorHAnsi"/>
          <w:i/>
        </w:rPr>
        <w:t>Oxford Review of Economic Policy</w:t>
      </w:r>
      <w:r w:rsidRPr="003F7C6D">
        <w:rPr>
          <w:rFonts w:cstheme="minorHAnsi"/>
        </w:rPr>
        <w:t xml:space="preserve"> (Vines and Wills, 2018).</w:t>
      </w:r>
    </w:p>
  </w:footnote>
  <w:footnote w:id="5">
    <w:p w:rsidR="00841606" w:rsidRDefault="00841606">
      <w:pPr>
        <w:pStyle w:val="FootnoteText"/>
      </w:pPr>
      <w:r>
        <w:rPr>
          <w:rStyle w:val="FootnoteReference"/>
        </w:rPr>
        <w:footnoteRef/>
      </w:r>
      <w:r>
        <w:t xml:space="preserve"> Barrell and </w:t>
      </w:r>
      <w:proofErr w:type="spellStart"/>
      <w:r>
        <w:t>Weale</w:t>
      </w:r>
      <w:proofErr w:type="spellEnd"/>
      <w:r>
        <w:t xml:space="preserve"> (20</w:t>
      </w:r>
      <w:r w:rsidR="00862A9D">
        <w:t>10</w:t>
      </w:r>
      <w:r>
        <w:t>) show that housing wealth is not net wealth only if the same conditions hold that mean government bonds are not net wealth. These are unlikely to hold, which is why we see housing wealth effects in the economies we study</w:t>
      </w:r>
    </w:p>
  </w:footnote>
  <w:footnote w:id="6">
    <w:p w:rsidR="00841606" w:rsidRDefault="00841606">
      <w:pPr>
        <w:pStyle w:val="FootnoteText"/>
      </w:pPr>
      <w:r>
        <w:rPr>
          <w:rStyle w:val="FootnoteReference"/>
        </w:rPr>
        <w:footnoteRef/>
      </w:r>
      <w:r>
        <w:t xml:space="preserve"> For instance, a Dutch user was asked to look at the impacts on Holland of leaving the Monetary Union and running their own monetary policy. Neither the body doing the work nor the one asking the question considered this as a possibility but were interested in the answer.</w:t>
      </w:r>
    </w:p>
  </w:footnote>
  <w:footnote w:id="7">
    <w:p w:rsidR="00841606" w:rsidRDefault="00841606">
      <w:pPr>
        <w:pStyle w:val="FootnoteText"/>
      </w:pPr>
      <w:r>
        <w:rPr>
          <w:rStyle w:val="FootnoteReference"/>
        </w:rPr>
        <w:footnoteRef/>
      </w:r>
      <w:r>
        <w:t xml:space="preserve"> </w:t>
      </w:r>
      <w:r w:rsidRPr="003F7C6D">
        <w:rPr>
          <w:rFonts w:ascii="Times New Roman" w:hAnsi="Times New Roman" w:cs="Times New Roman"/>
        </w:rPr>
        <w:t xml:space="preserve">This research was initiated in response to a commission from the pro-EU pressure group, </w:t>
      </w:r>
      <w:r w:rsidRPr="003F7C6D">
        <w:rPr>
          <w:rFonts w:ascii="Times New Roman" w:hAnsi="Times New Roman" w:cs="Times New Roman"/>
          <w:i/>
        </w:rPr>
        <w:t>Britain in Europe</w:t>
      </w:r>
      <w:r w:rsidRPr="003F7C6D">
        <w:rPr>
          <w:rFonts w:ascii="Times New Roman" w:hAnsi="Times New Roman" w:cs="Times New Roman"/>
        </w:rPr>
        <w:t>, that was looking for an estimate of the number of jobs that were linked to the UK’s membership of the 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416"/>
    <w:multiLevelType w:val="hybridMultilevel"/>
    <w:tmpl w:val="8258CE6E"/>
    <w:lvl w:ilvl="0" w:tplc="E78C61AA">
      <w:start w:val="1"/>
      <w:numFmt w:val="lowerRoman"/>
      <w:lvlText w:val="(%1)"/>
      <w:lvlJc w:val="left"/>
      <w:pPr>
        <w:ind w:left="717" w:hanging="720"/>
      </w:pPr>
      <w:rPr>
        <w:rFonts w:hint="default"/>
        <w:b w:val="0"/>
        <w:i w:val="0"/>
        <w:sz w:val="22"/>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 w15:restartNumberingAfterBreak="0">
    <w:nsid w:val="1B3E5EF9"/>
    <w:multiLevelType w:val="hybridMultilevel"/>
    <w:tmpl w:val="9236A4DC"/>
    <w:lvl w:ilvl="0" w:tplc="02EA3E82">
      <w:start w:val="1"/>
      <w:numFmt w:val="bullet"/>
      <w:pStyle w:val="Style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3E38C8"/>
    <w:multiLevelType w:val="hybridMultilevel"/>
    <w:tmpl w:val="503A4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0047A"/>
    <w:multiLevelType w:val="hybridMultilevel"/>
    <w:tmpl w:val="41444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2476B"/>
    <w:multiLevelType w:val="hybridMultilevel"/>
    <w:tmpl w:val="48E62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B56415"/>
    <w:multiLevelType w:val="hybridMultilevel"/>
    <w:tmpl w:val="042C5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802B7"/>
    <w:multiLevelType w:val="hybridMultilevel"/>
    <w:tmpl w:val="8258CE6E"/>
    <w:lvl w:ilvl="0" w:tplc="E78C61AA">
      <w:start w:val="1"/>
      <w:numFmt w:val="lowerRoman"/>
      <w:lvlText w:val="(%1)"/>
      <w:lvlJc w:val="left"/>
      <w:pPr>
        <w:ind w:left="717" w:hanging="720"/>
      </w:pPr>
      <w:rPr>
        <w:rFonts w:hint="default"/>
        <w:b w:val="0"/>
        <w:i w:val="0"/>
        <w:sz w:val="22"/>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7" w15:restartNumberingAfterBreak="0">
    <w:nsid w:val="582B31B3"/>
    <w:multiLevelType w:val="hybridMultilevel"/>
    <w:tmpl w:val="E8827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4F4DA2"/>
    <w:multiLevelType w:val="hybridMultilevel"/>
    <w:tmpl w:val="D4125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8"/>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24"/>
    <w:rsid w:val="00000496"/>
    <w:rsid w:val="0000146C"/>
    <w:rsid w:val="00032B90"/>
    <w:rsid w:val="000516A6"/>
    <w:rsid w:val="0006070C"/>
    <w:rsid w:val="00061E64"/>
    <w:rsid w:val="00063F98"/>
    <w:rsid w:val="0008766F"/>
    <w:rsid w:val="000A67E6"/>
    <w:rsid w:val="000B2303"/>
    <w:rsid w:val="000C3052"/>
    <w:rsid w:val="000D0F12"/>
    <w:rsid w:val="000E7F9E"/>
    <w:rsid w:val="000F3DDB"/>
    <w:rsid w:val="0011192D"/>
    <w:rsid w:val="00112F6D"/>
    <w:rsid w:val="00117FF8"/>
    <w:rsid w:val="00120AA6"/>
    <w:rsid w:val="0014585A"/>
    <w:rsid w:val="00154353"/>
    <w:rsid w:val="001544AE"/>
    <w:rsid w:val="001771E6"/>
    <w:rsid w:val="00184F52"/>
    <w:rsid w:val="00186C0C"/>
    <w:rsid w:val="001A60A5"/>
    <w:rsid w:val="001A7C95"/>
    <w:rsid w:val="001B2B85"/>
    <w:rsid w:val="001B3515"/>
    <w:rsid w:val="001C3171"/>
    <w:rsid w:val="001C4421"/>
    <w:rsid w:val="001D26FA"/>
    <w:rsid w:val="001D46B7"/>
    <w:rsid w:val="001D4C6C"/>
    <w:rsid w:val="001E1EA3"/>
    <w:rsid w:val="0021169B"/>
    <w:rsid w:val="00213C89"/>
    <w:rsid w:val="0023709F"/>
    <w:rsid w:val="002500A0"/>
    <w:rsid w:val="00260440"/>
    <w:rsid w:val="00266E85"/>
    <w:rsid w:val="002A5099"/>
    <w:rsid w:val="002B6D39"/>
    <w:rsid w:val="002B7E9E"/>
    <w:rsid w:val="002C7AEA"/>
    <w:rsid w:val="002F7D62"/>
    <w:rsid w:val="003242E9"/>
    <w:rsid w:val="00331B01"/>
    <w:rsid w:val="00337440"/>
    <w:rsid w:val="0034116C"/>
    <w:rsid w:val="00376B19"/>
    <w:rsid w:val="00383C7A"/>
    <w:rsid w:val="003B05B6"/>
    <w:rsid w:val="003C4F7B"/>
    <w:rsid w:val="003D052D"/>
    <w:rsid w:val="003D417F"/>
    <w:rsid w:val="003F7C6D"/>
    <w:rsid w:val="004005C4"/>
    <w:rsid w:val="004050C9"/>
    <w:rsid w:val="00406F14"/>
    <w:rsid w:val="0041444A"/>
    <w:rsid w:val="004206A5"/>
    <w:rsid w:val="004807CF"/>
    <w:rsid w:val="004846DF"/>
    <w:rsid w:val="004B0C7B"/>
    <w:rsid w:val="004F74A0"/>
    <w:rsid w:val="00511924"/>
    <w:rsid w:val="005236B5"/>
    <w:rsid w:val="0052377F"/>
    <w:rsid w:val="005321E5"/>
    <w:rsid w:val="00537BD5"/>
    <w:rsid w:val="005552E9"/>
    <w:rsid w:val="00564D0D"/>
    <w:rsid w:val="00577D0C"/>
    <w:rsid w:val="005A6BD8"/>
    <w:rsid w:val="005B7A00"/>
    <w:rsid w:val="005E56F8"/>
    <w:rsid w:val="005F3081"/>
    <w:rsid w:val="005F489F"/>
    <w:rsid w:val="00623F6D"/>
    <w:rsid w:val="0063235F"/>
    <w:rsid w:val="0064773C"/>
    <w:rsid w:val="00664D40"/>
    <w:rsid w:val="00673199"/>
    <w:rsid w:val="0067400A"/>
    <w:rsid w:val="00681483"/>
    <w:rsid w:val="00696726"/>
    <w:rsid w:val="00697866"/>
    <w:rsid w:val="006A1DA8"/>
    <w:rsid w:val="006D3A3C"/>
    <w:rsid w:val="006E0669"/>
    <w:rsid w:val="006E7237"/>
    <w:rsid w:val="006F1CFE"/>
    <w:rsid w:val="007123A4"/>
    <w:rsid w:val="00716B69"/>
    <w:rsid w:val="00740482"/>
    <w:rsid w:val="00743A8D"/>
    <w:rsid w:val="00745FD9"/>
    <w:rsid w:val="00753509"/>
    <w:rsid w:val="0077022F"/>
    <w:rsid w:val="007A11E7"/>
    <w:rsid w:val="007C515F"/>
    <w:rsid w:val="007E2723"/>
    <w:rsid w:val="007F017C"/>
    <w:rsid w:val="00816BDA"/>
    <w:rsid w:val="00823368"/>
    <w:rsid w:val="00831130"/>
    <w:rsid w:val="008377A6"/>
    <w:rsid w:val="00841606"/>
    <w:rsid w:val="00842F73"/>
    <w:rsid w:val="00862A9D"/>
    <w:rsid w:val="00884118"/>
    <w:rsid w:val="0089298D"/>
    <w:rsid w:val="008C14B5"/>
    <w:rsid w:val="008F6D4F"/>
    <w:rsid w:val="00912F9C"/>
    <w:rsid w:val="00935AD7"/>
    <w:rsid w:val="00943817"/>
    <w:rsid w:val="00953697"/>
    <w:rsid w:val="0095392D"/>
    <w:rsid w:val="00961E56"/>
    <w:rsid w:val="009621DD"/>
    <w:rsid w:val="00995660"/>
    <w:rsid w:val="009A1C5B"/>
    <w:rsid w:val="009F6E8A"/>
    <w:rsid w:val="00A0243D"/>
    <w:rsid w:val="00A024CA"/>
    <w:rsid w:val="00A16583"/>
    <w:rsid w:val="00A21DDD"/>
    <w:rsid w:val="00A31945"/>
    <w:rsid w:val="00A60357"/>
    <w:rsid w:val="00A61775"/>
    <w:rsid w:val="00AA4488"/>
    <w:rsid w:val="00AC1D1A"/>
    <w:rsid w:val="00AE3A57"/>
    <w:rsid w:val="00B1173A"/>
    <w:rsid w:val="00B2334B"/>
    <w:rsid w:val="00B4343D"/>
    <w:rsid w:val="00B52D05"/>
    <w:rsid w:val="00B75D65"/>
    <w:rsid w:val="00B8205B"/>
    <w:rsid w:val="00B85728"/>
    <w:rsid w:val="00B9423A"/>
    <w:rsid w:val="00BB24D2"/>
    <w:rsid w:val="00BD4DE7"/>
    <w:rsid w:val="00BE013A"/>
    <w:rsid w:val="00BE180A"/>
    <w:rsid w:val="00C131FB"/>
    <w:rsid w:val="00C25A93"/>
    <w:rsid w:val="00C41847"/>
    <w:rsid w:val="00C459D5"/>
    <w:rsid w:val="00C464F7"/>
    <w:rsid w:val="00C7353A"/>
    <w:rsid w:val="00C7785B"/>
    <w:rsid w:val="00C958F5"/>
    <w:rsid w:val="00CB1185"/>
    <w:rsid w:val="00CB216D"/>
    <w:rsid w:val="00CC16F9"/>
    <w:rsid w:val="00CE4393"/>
    <w:rsid w:val="00CE6816"/>
    <w:rsid w:val="00CF410D"/>
    <w:rsid w:val="00D036AE"/>
    <w:rsid w:val="00D04C66"/>
    <w:rsid w:val="00D16B23"/>
    <w:rsid w:val="00D21F97"/>
    <w:rsid w:val="00D27927"/>
    <w:rsid w:val="00D43934"/>
    <w:rsid w:val="00D501AB"/>
    <w:rsid w:val="00D51049"/>
    <w:rsid w:val="00D558C2"/>
    <w:rsid w:val="00D928AA"/>
    <w:rsid w:val="00DA4F21"/>
    <w:rsid w:val="00DC17D8"/>
    <w:rsid w:val="00DC576A"/>
    <w:rsid w:val="00DC58F5"/>
    <w:rsid w:val="00DE150C"/>
    <w:rsid w:val="00E566B2"/>
    <w:rsid w:val="00E6416E"/>
    <w:rsid w:val="00E73948"/>
    <w:rsid w:val="00E90ED0"/>
    <w:rsid w:val="00E92478"/>
    <w:rsid w:val="00EA0C33"/>
    <w:rsid w:val="00EA30D6"/>
    <w:rsid w:val="00EB14F2"/>
    <w:rsid w:val="00EC19D2"/>
    <w:rsid w:val="00EE0244"/>
    <w:rsid w:val="00EE22EF"/>
    <w:rsid w:val="00EF0AE3"/>
    <w:rsid w:val="00EF7E8C"/>
    <w:rsid w:val="00F11786"/>
    <w:rsid w:val="00F13B43"/>
    <w:rsid w:val="00F3204E"/>
    <w:rsid w:val="00F54828"/>
    <w:rsid w:val="00F5640B"/>
    <w:rsid w:val="00F71043"/>
    <w:rsid w:val="00F86737"/>
    <w:rsid w:val="00F95FF0"/>
    <w:rsid w:val="00FB3666"/>
    <w:rsid w:val="00FC5240"/>
    <w:rsid w:val="00FC60B7"/>
    <w:rsid w:val="00FE046C"/>
    <w:rsid w:val="00FE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7CBE"/>
  <w15:docId w15:val="{FA24E7BF-4827-4CC8-A15E-1E32ACBA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A0"/>
  </w:style>
  <w:style w:type="paragraph" w:styleId="Footer">
    <w:name w:val="footer"/>
    <w:basedOn w:val="Normal"/>
    <w:link w:val="FooterChar"/>
    <w:uiPriority w:val="99"/>
    <w:unhideWhenUsed/>
    <w:rsid w:val="00250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A0"/>
  </w:style>
  <w:style w:type="paragraph" w:styleId="FootnoteText">
    <w:name w:val="footnote text"/>
    <w:basedOn w:val="Normal"/>
    <w:link w:val="FootnoteTextChar"/>
    <w:semiHidden/>
    <w:unhideWhenUsed/>
    <w:rsid w:val="002500A0"/>
    <w:pPr>
      <w:spacing w:after="0" w:line="240" w:lineRule="auto"/>
    </w:pPr>
    <w:rPr>
      <w:sz w:val="20"/>
      <w:szCs w:val="20"/>
    </w:rPr>
  </w:style>
  <w:style w:type="character" w:customStyle="1" w:styleId="FootnoteTextChar">
    <w:name w:val="Footnote Text Char"/>
    <w:basedOn w:val="DefaultParagraphFont"/>
    <w:link w:val="FootnoteText"/>
    <w:semiHidden/>
    <w:rsid w:val="002500A0"/>
    <w:rPr>
      <w:sz w:val="20"/>
      <w:szCs w:val="20"/>
    </w:rPr>
  </w:style>
  <w:style w:type="character" w:styleId="FootnoteReference">
    <w:name w:val="footnote reference"/>
    <w:basedOn w:val="DefaultParagraphFont"/>
    <w:semiHidden/>
    <w:unhideWhenUsed/>
    <w:rsid w:val="002500A0"/>
    <w:rPr>
      <w:vertAlign w:val="superscript"/>
    </w:rPr>
  </w:style>
  <w:style w:type="paragraph" w:styleId="ListParagraph">
    <w:name w:val="List Paragraph"/>
    <w:basedOn w:val="Normal"/>
    <w:uiPriority w:val="34"/>
    <w:qFormat/>
    <w:rsid w:val="00537BD5"/>
    <w:pPr>
      <w:ind w:left="720"/>
      <w:contextualSpacing/>
    </w:pPr>
  </w:style>
  <w:style w:type="paragraph" w:styleId="NormalWeb">
    <w:name w:val="Normal (Web)"/>
    <w:basedOn w:val="Normal"/>
    <w:unhideWhenUsed/>
    <w:rsid w:val="00E90ED0"/>
    <w:pPr>
      <w:spacing w:before="100" w:beforeAutospacing="1" w:after="100" w:afterAutospacing="1" w:line="240" w:lineRule="auto"/>
      <w:ind w:left="-284"/>
      <w:jc w:val="both"/>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D8"/>
    <w:rPr>
      <w:rFonts w:ascii="Tahoma" w:hAnsi="Tahoma" w:cs="Tahoma"/>
      <w:sz w:val="16"/>
      <w:szCs w:val="16"/>
    </w:rPr>
  </w:style>
  <w:style w:type="character" w:styleId="CommentReference">
    <w:name w:val="annotation reference"/>
    <w:basedOn w:val="DefaultParagraphFont"/>
    <w:uiPriority w:val="99"/>
    <w:semiHidden/>
    <w:unhideWhenUsed/>
    <w:rsid w:val="004005C4"/>
    <w:rPr>
      <w:sz w:val="16"/>
      <w:szCs w:val="16"/>
    </w:rPr>
  </w:style>
  <w:style w:type="paragraph" w:styleId="CommentText">
    <w:name w:val="annotation text"/>
    <w:basedOn w:val="Normal"/>
    <w:link w:val="CommentTextChar"/>
    <w:uiPriority w:val="99"/>
    <w:semiHidden/>
    <w:unhideWhenUsed/>
    <w:rsid w:val="004005C4"/>
    <w:pPr>
      <w:spacing w:line="240" w:lineRule="auto"/>
    </w:pPr>
    <w:rPr>
      <w:sz w:val="20"/>
      <w:szCs w:val="20"/>
    </w:rPr>
  </w:style>
  <w:style w:type="character" w:customStyle="1" w:styleId="CommentTextChar">
    <w:name w:val="Comment Text Char"/>
    <w:basedOn w:val="DefaultParagraphFont"/>
    <w:link w:val="CommentText"/>
    <w:uiPriority w:val="99"/>
    <w:semiHidden/>
    <w:rsid w:val="004005C4"/>
    <w:rPr>
      <w:sz w:val="20"/>
      <w:szCs w:val="20"/>
    </w:rPr>
  </w:style>
  <w:style w:type="paragraph" w:styleId="CommentSubject">
    <w:name w:val="annotation subject"/>
    <w:basedOn w:val="CommentText"/>
    <w:next w:val="CommentText"/>
    <w:link w:val="CommentSubjectChar"/>
    <w:uiPriority w:val="99"/>
    <w:semiHidden/>
    <w:unhideWhenUsed/>
    <w:rsid w:val="004005C4"/>
    <w:rPr>
      <w:b/>
      <w:bCs/>
    </w:rPr>
  </w:style>
  <w:style w:type="character" w:customStyle="1" w:styleId="CommentSubjectChar">
    <w:name w:val="Comment Subject Char"/>
    <w:basedOn w:val="CommentTextChar"/>
    <w:link w:val="CommentSubject"/>
    <w:uiPriority w:val="99"/>
    <w:semiHidden/>
    <w:rsid w:val="004005C4"/>
    <w:rPr>
      <w:b/>
      <w:bCs/>
      <w:sz w:val="20"/>
      <w:szCs w:val="20"/>
    </w:rPr>
  </w:style>
  <w:style w:type="paragraph" w:customStyle="1" w:styleId="Style1">
    <w:name w:val="Style1"/>
    <w:basedOn w:val="Normal"/>
    <w:qFormat/>
    <w:rsid w:val="003242E9"/>
    <w:pPr>
      <w:numPr>
        <w:numId w:val="9"/>
      </w:numPr>
      <w:spacing w:after="0" w:line="240" w:lineRule="auto"/>
      <w:ind w:left="360"/>
    </w:pPr>
    <w:rPr>
      <w:rFonts w:ascii="Times New Roman" w:eastAsia="Times New Roman" w:hAnsi="Times New Roman" w:cs="Times New Roman"/>
      <w:sz w:val="24"/>
      <w:szCs w:val="20"/>
      <w:lang w:val="en-US"/>
    </w:rPr>
  </w:style>
  <w:style w:type="paragraph" w:styleId="Title">
    <w:name w:val="Title"/>
    <w:basedOn w:val="Normal"/>
    <w:link w:val="TitleChar"/>
    <w:qFormat/>
    <w:rsid w:val="00EA0C33"/>
    <w:pPr>
      <w:spacing w:after="0" w:line="240" w:lineRule="auto"/>
      <w:jc w:val="center"/>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EA0C33"/>
    <w:rPr>
      <w:rFonts w:ascii="Times New Roman" w:eastAsia="Times New Roman" w:hAnsi="Times New Roman" w:cs="Times New Roman"/>
      <w:b/>
      <w:sz w:val="28"/>
      <w:szCs w:val="20"/>
      <w:lang w:eastAsia="en-GB"/>
    </w:rPr>
  </w:style>
  <w:style w:type="character" w:styleId="Strong">
    <w:name w:val="Strong"/>
    <w:qFormat/>
    <w:rsid w:val="00EA0C33"/>
    <w:rPr>
      <w:b/>
      <w:bCs/>
    </w:rPr>
  </w:style>
  <w:style w:type="character" w:customStyle="1" w:styleId="style211">
    <w:name w:val="style211"/>
    <w:rsid w:val="00EA0C33"/>
    <w:rPr>
      <w:color w:val="333333"/>
      <w:sz w:val="18"/>
      <w:szCs w:val="18"/>
    </w:rPr>
  </w:style>
  <w:style w:type="paragraph" w:styleId="BodyText">
    <w:name w:val="Body Text"/>
    <w:basedOn w:val="Normal"/>
    <w:link w:val="BodyTextChar"/>
    <w:rsid w:val="00EA0C33"/>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EA0C33"/>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EA0C33"/>
    <w:pPr>
      <w:spacing w:after="120" w:line="240" w:lineRule="auto"/>
      <w:ind w:left="283"/>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EA0C33"/>
    <w:rPr>
      <w:rFonts w:ascii="Times New Roman" w:eastAsia="Times New Roman" w:hAnsi="Times New Roman" w:cs="Times New Roman"/>
      <w:sz w:val="24"/>
      <w:szCs w:val="20"/>
      <w:lang w:eastAsia="en-GB"/>
    </w:rPr>
  </w:style>
  <w:style w:type="paragraph" w:customStyle="1" w:styleId="indent">
    <w:name w:val="indent"/>
    <w:basedOn w:val="Normal"/>
    <w:rsid w:val="00EA0C33"/>
    <w:pPr>
      <w:tabs>
        <w:tab w:val="left" w:pos="397"/>
        <w:tab w:val="left" w:pos="556"/>
      </w:tabs>
      <w:spacing w:after="0" w:line="300" w:lineRule="atLeast"/>
      <w:ind w:left="283" w:hanging="283"/>
    </w:pPr>
    <w:rPr>
      <w:rFonts w:ascii="AGaramond" w:eastAsia="Times New Roman" w:hAnsi="AGaramond" w:cs="Times New Roman"/>
      <w:snapToGrid w:val="0"/>
      <w:sz w:val="24"/>
      <w:szCs w:val="20"/>
    </w:rPr>
  </w:style>
  <w:style w:type="character" w:customStyle="1" w:styleId="st">
    <w:name w:val="st"/>
    <w:basedOn w:val="DefaultParagraphFont"/>
    <w:rsid w:val="00862A9D"/>
  </w:style>
  <w:style w:type="character" w:styleId="Emphasis">
    <w:name w:val="Emphasis"/>
    <w:basedOn w:val="DefaultParagraphFont"/>
    <w:uiPriority w:val="20"/>
    <w:qFormat/>
    <w:rsid w:val="00862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3108">
      <w:bodyDiv w:val="1"/>
      <w:marLeft w:val="0"/>
      <w:marRight w:val="0"/>
      <w:marTop w:val="0"/>
      <w:marBottom w:val="0"/>
      <w:divBdr>
        <w:top w:val="none" w:sz="0" w:space="0" w:color="auto"/>
        <w:left w:val="none" w:sz="0" w:space="0" w:color="auto"/>
        <w:bottom w:val="none" w:sz="0" w:space="0" w:color="auto"/>
        <w:right w:val="none" w:sz="0" w:space="0" w:color="auto"/>
      </w:divBdr>
      <w:divsChild>
        <w:div w:id="2038659595">
          <w:marLeft w:val="0"/>
          <w:marRight w:val="0"/>
          <w:marTop w:val="0"/>
          <w:marBottom w:val="0"/>
          <w:divBdr>
            <w:top w:val="none" w:sz="0" w:space="0" w:color="auto"/>
            <w:left w:val="none" w:sz="0" w:space="0" w:color="auto"/>
            <w:bottom w:val="none" w:sz="0" w:space="0" w:color="auto"/>
            <w:right w:val="none" w:sz="0" w:space="0" w:color="auto"/>
          </w:divBdr>
        </w:div>
        <w:div w:id="380982675">
          <w:marLeft w:val="0"/>
          <w:marRight w:val="0"/>
          <w:marTop w:val="0"/>
          <w:marBottom w:val="0"/>
          <w:divBdr>
            <w:top w:val="none" w:sz="0" w:space="0" w:color="auto"/>
            <w:left w:val="none" w:sz="0" w:space="0" w:color="auto"/>
            <w:bottom w:val="none" w:sz="0" w:space="0" w:color="auto"/>
            <w:right w:val="none" w:sz="0" w:space="0" w:color="auto"/>
          </w:divBdr>
        </w:div>
        <w:div w:id="2083866525">
          <w:marLeft w:val="0"/>
          <w:marRight w:val="0"/>
          <w:marTop w:val="0"/>
          <w:marBottom w:val="0"/>
          <w:divBdr>
            <w:top w:val="none" w:sz="0" w:space="0" w:color="auto"/>
            <w:left w:val="none" w:sz="0" w:space="0" w:color="auto"/>
            <w:bottom w:val="none" w:sz="0" w:space="0" w:color="auto"/>
            <w:right w:val="none" w:sz="0" w:space="0" w:color="auto"/>
          </w:divBdr>
        </w:div>
        <w:div w:id="1882084351">
          <w:marLeft w:val="0"/>
          <w:marRight w:val="0"/>
          <w:marTop w:val="0"/>
          <w:marBottom w:val="0"/>
          <w:divBdr>
            <w:top w:val="none" w:sz="0" w:space="0" w:color="auto"/>
            <w:left w:val="none" w:sz="0" w:space="0" w:color="auto"/>
            <w:bottom w:val="none" w:sz="0" w:space="0" w:color="auto"/>
            <w:right w:val="none" w:sz="0" w:space="0" w:color="auto"/>
          </w:divBdr>
        </w:div>
        <w:div w:id="195432330">
          <w:marLeft w:val="0"/>
          <w:marRight w:val="0"/>
          <w:marTop w:val="0"/>
          <w:marBottom w:val="0"/>
          <w:divBdr>
            <w:top w:val="none" w:sz="0" w:space="0" w:color="auto"/>
            <w:left w:val="none" w:sz="0" w:space="0" w:color="auto"/>
            <w:bottom w:val="none" w:sz="0" w:space="0" w:color="auto"/>
            <w:right w:val="none" w:sz="0" w:space="0" w:color="auto"/>
          </w:divBdr>
        </w:div>
        <w:div w:id="963728323">
          <w:marLeft w:val="0"/>
          <w:marRight w:val="0"/>
          <w:marTop w:val="0"/>
          <w:marBottom w:val="0"/>
          <w:divBdr>
            <w:top w:val="none" w:sz="0" w:space="0" w:color="auto"/>
            <w:left w:val="none" w:sz="0" w:space="0" w:color="auto"/>
            <w:bottom w:val="none" w:sz="0" w:space="0" w:color="auto"/>
            <w:right w:val="none" w:sz="0" w:space="0" w:color="auto"/>
          </w:divBdr>
        </w:div>
      </w:divsChild>
    </w:div>
    <w:div w:id="804662668">
      <w:bodyDiv w:val="1"/>
      <w:marLeft w:val="0"/>
      <w:marRight w:val="0"/>
      <w:marTop w:val="0"/>
      <w:marBottom w:val="0"/>
      <w:divBdr>
        <w:top w:val="none" w:sz="0" w:space="0" w:color="auto"/>
        <w:left w:val="none" w:sz="0" w:space="0" w:color="auto"/>
        <w:bottom w:val="none" w:sz="0" w:space="0" w:color="auto"/>
        <w:right w:val="none" w:sz="0" w:space="0" w:color="auto"/>
      </w:divBdr>
      <w:divsChild>
        <w:div w:id="608854997">
          <w:marLeft w:val="0"/>
          <w:marRight w:val="0"/>
          <w:marTop w:val="0"/>
          <w:marBottom w:val="0"/>
          <w:divBdr>
            <w:top w:val="none" w:sz="0" w:space="0" w:color="auto"/>
            <w:left w:val="none" w:sz="0" w:space="0" w:color="auto"/>
            <w:bottom w:val="none" w:sz="0" w:space="0" w:color="auto"/>
            <w:right w:val="none" w:sz="0" w:space="0" w:color="auto"/>
          </w:divBdr>
        </w:div>
        <w:div w:id="72629980">
          <w:marLeft w:val="766"/>
          <w:marRight w:val="0"/>
          <w:marTop w:val="0"/>
          <w:marBottom w:val="0"/>
          <w:divBdr>
            <w:top w:val="none" w:sz="0" w:space="0" w:color="auto"/>
            <w:left w:val="none" w:sz="0" w:space="0" w:color="auto"/>
            <w:bottom w:val="none" w:sz="0" w:space="0" w:color="auto"/>
            <w:right w:val="none" w:sz="0" w:space="0" w:color="auto"/>
          </w:divBdr>
        </w:div>
        <w:div w:id="172646540">
          <w:marLeft w:val="766"/>
          <w:marRight w:val="0"/>
          <w:marTop w:val="0"/>
          <w:marBottom w:val="0"/>
          <w:divBdr>
            <w:top w:val="none" w:sz="0" w:space="0" w:color="auto"/>
            <w:left w:val="none" w:sz="0" w:space="0" w:color="auto"/>
            <w:bottom w:val="none" w:sz="0" w:space="0" w:color="auto"/>
            <w:right w:val="none" w:sz="0" w:space="0" w:color="auto"/>
          </w:divBdr>
        </w:div>
        <w:div w:id="2017884435">
          <w:marLeft w:val="766"/>
          <w:marRight w:val="0"/>
          <w:marTop w:val="0"/>
          <w:marBottom w:val="0"/>
          <w:divBdr>
            <w:top w:val="none" w:sz="0" w:space="0" w:color="auto"/>
            <w:left w:val="none" w:sz="0" w:space="0" w:color="auto"/>
            <w:bottom w:val="none" w:sz="0" w:space="0" w:color="auto"/>
            <w:right w:val="none" w:sz="0" w:space="0" w:color="auto"/>
          </w:divBdr>
        </w:div>
        <w:div w:id="172960356">
          <w:marLeft w:val="766"/>
          <w:marRight w:val="0"/>
          <w:marTop w:val="0"/>
          <w:marBottom w:val="0"/>
          <w:divBdr>
            <w:top w:val="none" w:sz="0" w:space="0" w:color="auto"/>
            <w:left w:val="none" w:sz="0" w:space="0" w:color="auto"/>
            <w:bottom w:val="none" w:sz="0" w:space="0" w:color="auto"/>
            <w:right w:val="none" w:sz="0" w:space="0" w:color="auto"/>
          </w:divBdr>
        </w:div>
        <w:div w:id="1384017727">
          <w:marLeft w:val="766"/>
          <w:marRight w:val="0"/>
          <w:marTop w:val="0"/>
          <w:marBottom w:val="0"/>
          <w:divBdr>
            <w:top w:val="none" w:sz="0" w:space="0" w:color="auto"/>
            <w:left w:val="none" w:sz="0" w:space="0" w:color="auto"/>
            <w:bottom w:val="none" w:sz="0" w:space="0" w:color="auto"/>
            <w:right w:val="none" w:sz="0" w:space="0" w:color="auto"/>
          </w:divBdr>
        </w:div>
        <w:div w:id="1817333090">
          <w:marLeft w:val="0"/>
          <w:marRight w:val="0"/>
          <w:marTop w:val="0"/>
          <w:marBottom w:val="0"/>
          <w:divBdr>
            <w:top w:val="none" w:sz="0" w:space="0" w:color="auto"/>
            <w:left w:val="none" w:sz="0" w:space="0" w:color="auto"/>
            <w:bottom w:val="none" w:sz="0" w:space="0" w:color="auto"/>
            <w:right w:val="none" w:sz="0" w:space="0" w:color="auto"/>
          </w:divBdr>
        </w:div>
        <w:div w:id="957298780">
          <w:marLeft w:val="0"/>
          <w:marRight w:val="0"/>
          <w:marTop w:val="0"/>
          <w:marBottom w:val="0"/>
          <w:divBdr>
            <w:top w:val="none" w:sz="0" w:space="0" w:color="auto"/>
            <w:left w:val="none" w:sz="0" w:space="0" w:color="auto"/>
            <w:bottom w:val="none" w:sz="0" w:space="0" w:color="auto"/>
            <w:right w:val="none" w:sz="0" w:space="0" w:color="auto"/>
          </w:divBdr>
        </w:div>
      </w:divsChild>
    </w:div>
    <w:div w:id="804859657">
      <w:bodyDiv w:val="1"/>
      <w:marLeft w:val="0"/>
      <w:marRight w:val="0"/>
      <w:marTop w:val="0"/>
      <w:marBottom w:val="0"/>
      <w:divBdr>
        <w:top w:val="none" w:sz="0" w:space="0" w:color="auto"/>
        <w:left w:val="none" w:sz="0" w:space="0" w:color="auto"/>
        <w:bottom w:val="none" w:sz="0" w:space="0" w:color="auto"/>
        <w:right w:val="none" w:sz="0" w:space="0" w:color="auto"/>
      </w:divBdr>
      <w:divsChild>
        <w:div w:id="1918008590">
          <w:marLeft w:val="0"/>
          <w:marRight w:val="0"/>
          <w:marTop w:val="0"/>
          <w:marBottom w:val="0"/>
          <w:divBdr>
            <w:top w:val="none" w:sz="0" w:space="0" w:color="auto"/>
            <w:left w:val="none" w:sz="0" w:space="0" w:color="auto"/>
            <w:bottom w:val="none" w:sz="0" w:space="0" w:color="auto"/>
            <w:right w:val="none" w:sz="0" w:space="0" w:color="auto"/>
          </w:divBdr>
        </w:div>
      </w:divsChild>
    </w:div>
    <w:div w:id="826357579">
      <w:bodyDiv w:val="1"/>
      <w:marLeft w:val="0"/>
      <w:marRight w:val="0"/>
      <w:marTop w:val="0"/>
      <w:marBottom w:val="0"/>
      <w:divBdr>
        <w:top w:val="none" w:sz="0" w:space="0" w:color="auto"/>
        <w:left w:val="none" w:sz="0" w:space="0" w:color="auto"/>
        <w:bottom w:val="none" w:sz="0" w:space="0" w:color="auto"/>
        <w:right w:val="none" w:sz="0" w:space="0" w:color="auto"/>
      </w:divBdr>
      <w:divsChild>
        <w:div w:id="1899894679">
          <w:marLeft w:val="720"/>
          <w:marRight w:val="0"/>
          <w:marTop w:val="0"/>
          <w:marBottom w:val="0"/>
          <w:divBdr>
            <w:top w:val="none" w:sz="0" w:space="0" w:color="auto"/>
            <w:left w:val="none" w:sz="0" w:space="0" w:color="auto"/>
            <w:bottom w:val="none" w:sz="0" w:space="0" w:color="auto"/>
            <w:right w:val="none" w:sz="0" w:space="0" w:color="auto"/>
          </w:divBdr>
        </w:div>
        <w:div w:id="322660291">
          <w:marLeft w:val="720"/>
          <w:marRight w:val="0"/>
          <w:marTop w:val="0"/>
          <w:marBottom w:val="0"/>
          <w:divBdr>
            <w:top w:val="none" w:sz="0" w:space="0" w:color="auto"/>
            <w:left w:val="none" w:sz="0" w:space="0" w:color="auto"/>
            <w:bottom w:val="none" w:sz="0" w:space="0" w:color="auto"/>
            <w:right w:val="none" w:sz="0" w:space="0" w:color="auto"/>
          </w:divBdr>
        </w:div>
        <w:div w:id="1140079647">
          <w:marLeft w:val="720"/>
          <w:marRight w:val="0"/>
          <w:marTop w:val="0"/>
          <w:marBottom w:val="0"/>
          <w:divBdr>
            <w:top w:val="none" w:sz="0" w:space="0" w:color="auto"/>
            <w:left w:val="none" w:sz="0" w:space="0" w:color="auto"/>
            <w:bottom w:val="none" w:sz="0" w:space="0" w:color="auto"/>
            <w:right w:val="none" w:sz="0" w:space="0" w:color="auto"/>
          </w:divBdr>
        </w:div>
        <w:div w:id="135223645">
          <w:marLeft w:val="720"/>
          <w:marRight w:val="0"/>
          <w:marTop w:val="0"/>
          <w:marBottom w:val="0"/>
          <w:divBdr>
            <w:top w:val="none" w:sz="0" w:space="0" w:color="auto"/>
            <w:left w:val="none" w:sz="0" w:space="0" w:color="auto"/>
            <w:bottom w:val="none" w:sz="0" w:space="0" w:color="auto"/>
            <w:right w:val="none" w:sz="0" w:space="0" w:color="auto"/>
          </w:divBdr>
        </w:div>
        <w:div w:id="2053842804">
          <w:marLeft w:val="0"/>
          <w:marRight w:val="0"/>
          <w:marTop w:val="0"/>
          <w:marBottom w:val="0"/>
          <w:divBdr>
            <w:top w:val="none" w:sz="0" w:space="0" w:color="auto"/>
            <w:left w:val="none" w:sz="0" w:space="0" w:color="auto"/>
            <w:bottom w:val="none" w:sz="0" w:space="0" w:color="auto"/>
            <w:right w:val="none" w:sz="0" w:space="0" w:color="auto"/>
          </w:divBdr>
        </w:div>
      </w:divsChild>
    </w:div>
    <w:div w:id="1147042763">
      <w:bodyDiv w:val="1"/>
      <w:marLeft w:val="0"/>
      <w:marRight w:val="0"/>
      <w:marTop w:val="0"/>
      <w:marBottom w:val="0"/>
      <w:divBdr>
        <w:top w:val="none" w:sz="0" w:space="0" w:color="auto"/>
        <w:left w:val="none" w:sz="0" w:space="0" w:color="auto"/>
        <w:bottom w:val="none" w:sz="0" w:space="0" w:color="auto"/>
        <w:right w:val="none" w:sz="0" w:space="0" w:color="auto"/>
      </w:divBdr>
    </w:div>
    <w:div w:id="1269970038">
      <w:bodyDiv w:val="1"/>
      <w:marLeft w:val="0"/>
      <w:marRight w:val="0"/>
      <w:marTop w:val="0"/>
      <w:marBottom w:val="0"/>
      <w:divBdr>
        <w:top w:val="none" w:sz="0" w:space="0" w:color="auto"/>
        <w:left w:val="none" w:sz="0" w:space="0" w:color="auto"/>
        <w:bottom w:val="none" w:sz="0" w:space="0" w:color="auto"/>
        <w:right w:val="none" w:sz="0" w:space="0" w:color="auto"/>
      </w:divBdr>
    </w:div>
    <w:div w:id="1408382223">
      <w:bodyDiv w:val="1"/>
      <w:marLeft w:val="0"/>
      <w:marRight w:val="0"/>
      <w:marTop w:val="0"/>
      <w:marBottom w:val="0"/>
      <w:divBdr>
        <w:top w:val="none" w:sz="0" w:space="0" w:color="auto"/>
        <w:left w:val="none" w:sz="0" w:space="0" w:color="auto"/>
        <w:bottom w:val="none" w:sz="0" w:space="0" w:color="auto"/>
        <w:right w:val="none" w:sz="0" w:space="0" w:color="auto"/>
      </w:divBdr>
    </w:div>
    <w:div w:id="1563784435">
      <w:bodyDiv w:val="1"/>
      <w:marLeft w:val="0"/>
      <w:marRight w:val="0"/>
      <w:marTop w:val="0"/>
      <w:marBottom w:val="0"/>
      <w:divBdr>
        <w:top w:val="none" w:sz="0" w:space="0" w:color="auto"/>
        <w:left w:val="none" w:sz="0" w:space="0" w:color="auto"/>
        <w:bottom w:val="none" w:sz="0" w:space="0" w:color="auto"/>
        <w:right w:val="none" w:sz="0" w:space="0" w:color="auto"/>
      </w:divBdr>
      <w:divsChild>
        <w:div w:id="1208907592">
          <w:marLeft w:val="0"/>
          <w:marRight w:val="0"/>
          <w:marTop w:val="0"/>
          <w:marBottom w:val="0"/>
          <w:divBdr>
            <w:top w:val="none" w:sz="0" w:space="0" w:color="auto"/>
            <w:left w:val="none" w:sz="0" w:space="0" w:color="auto"/>
            <w:bottom w:val="none" w:sz="0" w:space="0" w:color="auto"/>
            <w:right w:val="none" w:sz="0" w:space="0" w:color="auto"/>
          </w:divBdr>
        </w:div>
        <w:div w:id="540093602">
          <w:marLeft w:val="0"/>
          <w:marRight w:val="0"/>
          <w:marTop w:val="0"/>
          <w:marBottom w:val="0"/>
          <w:divBdr>
            <w:top w:val="none" w:sz="0" w:space="0" w:color="auto"/>
            <w:left w:val="none" w:sz="0" w:space="0" w:color="auto"/>
            <w:bottom w:val="none" w:sz="0" w:space="0" w:color="auto"/>
            <w:right w:val="none" w:sz="0" w:space="0" w:color="auto"/>
          </w:divBdr>
        </w:div>
      </w:divsChild>
    </w:div>
    <w:div w:id="1721972017">
      <w:bodyDiv w:val="1"/>
      <w:marLeft w:val="0"/>
      <w:marRight w:val="0"/>
      <w:marTop w:val="0"/>
      <w:marBottom w:val="0"/>
      <w:divBdr>
        <w:top w:val="none" w:sz="0" w:space="0" w:color="auto"/>
        <w:left w:val="none" w:sz="0" w:space="0" w:color="auto"/>
        <w:bottom w:val="none" w:sz="0" w:space="0" w:color="auto"/>
        <w:right w:val="none" w:sz="0" w:space="0" w:color="auto"/>
      </w:divBdr>
      <w:divsChild>
        <w:div w:id="175195228">
          <w:marLeft w:val="0"/>
          <w:marRight w:val="0"/>
          <w:marTop w:val="0"/>
          <w:marBottom w:val="0"/>
          <w:divBdr>
            <w:top w:val="none" w:sz="0" w:space="0" w:color="auto"/>
            <w:left w:val="none" w:sz="0" w:space="0" w:color="auto"/>
            <w:bottom w:val="none" w:sz="0" w:space="0" w:color="auto"/>
            <w:right w:val="none" w:sz="0" w:space="0" w:color="auto"/>
          </w:divBdr>
        </w:div>
        <w:div w:id="274990566">
          <w:marLeft w:val="0"/>
          <w:marRight w:val="0"/>
          <w:marTop w:val="0"/>
          <w:marBottom w:val="0"/>
          <w:divBdr>
            <w:top w:val="none" w:sz="0" w:space="0" w:color="auto"/>
            <w:left w:val="none" w:sz="0" w:space="0" w:color="auto"/>
            <w:bottom w:val="none" w:sz="0" w:space="0" w:color="auto"/>
            <w:right w:val="none" w:sz="0" w:space="0" w:color="auto"/>
          </w:divBdr>
        </w:div>
        <w:div w:id="1155681177">
          <w:marLeft w:val="0"/>
          <w:marRight w:val="0"/>
          <w:marTop w:val="0"/>
          <w:marBottom w:val="0"/>
          <w:divBdr>
            <w:top w:val="none" w:sz="0" w:space="0" w:color="auto"/>
            <w:left w:val="none" w:sz="0" w:space="0" w:color="auto"/>
            <w:bottom w:val="none" w:sz="0" w:space="0" w:color="auto"/>
            <w:right w:val="none" w:sz="0" w:space="0" w:color="auto"/>
          </w:divBdr>
        </w:div>
        <w:div w:id="1086732151">
          <w:marLeft w:val="0"/>
          <w:marRight w:val="0"/>
          <w:marTop w:val="0"/>
          <w:marBottom w:val="0"/>
          <w:divBdr>
            <w:top w:val="none" w:sz="0" w:space="0" w:color="auto"/>
            <w:left w:val="none" w:sz="0" w:space="0" w:color="auto"/>
            <w:bottom w:val="none" w:sz="0" w:space="0" w:color="auto"/>
            <w:right w:val="none" w:sz="0" w:space="0" w:color="auto"/>
          </w:divBdr>
        </w:div>
        <w:div w:id="1577327109">
          <w:marLeft w:val="0"/>
          <w:marRight w:val="0"/>
          <w:marTop w:val="0"/>
          <w:marBottom w:val="0"/>
          <w:divBdr>
            <w:top w:val="none" w:sz="0" w:space="0" w:color="auto"/>
            <w:left w:val="none" w:sz="0" w:space="0" w:color="auto"/>
            <w:bottom w:val="none" w:sz="0" w:space="0" w:color="auto"/>
            <w:right w:val="none" w:sz="0" w:space="0" w:color="auto"/>
          </w:divBdr>
        </w:div>
        <w:div w:id="877938376">
          <w:marLeft w:val="0"/>
          <w:marRight w:val="0"/>
          <w:marTop w:val="0"/>
          <w:marBottom w:val="0"/>
          <w:divBdr>
            <w:top w:val="none" w:sz="0" w:space="0" w:color="auto"/>
            <w:left w:val="none" w:sz="0" w:space="0" w:color="auto"/>
            <w:bottom w:val="none" w:sz="0" w:space="0" w:color="auto"/>
            <w:right w:val="none" w:sz="0" w:space="0" w:color="auto"/>
          </w:divBdr>
        </w:div>
        <w:div w:id="13313787">
          <w:marLeft w:val="0"/>
          <w:marRight w:val="0"/>
          <w:marTop w:val="0"/>
          <w:marBottom w:val="0"/>
          <w:divBdr>
            <w:top w:val="none" w:sz="0" w:space="0" w:color="auto"/>
            <w:left w:val="none" w:sz="0" w:space="0" w:color="auto"/>
            <w:bottom w:val="none" w:sz="0" w:space="0" w:color="auto"/>
            <w:right w:val="none" w:sz="0" w:space="0" w:color="auto"/>
          </w:divBdr>
        </w:div>
        <w:div w:id="2041469688">
          <w:marLeft w:val="0"/>
          <w:marRight w:val="0"/>
          <w:marTop w:val="0"/>
          <w:marBottom w:val="0"/>
          <w:divBdr>
            <w:top w:val="none" w:sz="0" w:space="0" w:color="auto"/>
            <w:left w:val="none" w:sz="0" w:space="0" w:color="auto"/>
            <w:bottom w:val="none" w:sz="0" w:space="0" w:color="auto"/>
            <w:right w:val="none" w:sz="0" w:space="0" w:color="auto"/>
          </w:divBdr>
        </w:div>
        <w:div w:id="1918706605">
          <w:marLeft w:val="0"/>
          <w:marRight w:val="0"/>
          <w:marTop w:val="0"/>
          <w:marBottom w:val="0"/>
          <w:divBdr>
            <w:top w:val="none" w:sz="0" w:space="0" w:color="auto"/>
            <w:left w:val="none" w:sz="0" w:space="0" w:color="auto"/>
            <w:bottom w:val="none" w:sz="0" w:space="0" w:color="auto"/>
            <w:right w:val="none" w:sz="0" w:space="0" w:color="auto"/>
          </w:divBdr>
        </w:div>
        <w:div w:id="974021803">
          <w:marLeft w:val="0"/>
          <w:marRight w:val="0"/>
          <w:marTop w:val="0"/>
          <w:marBottom w:val="0"/>
          <w:divBdr>
            <w:top w:val="none" w:sz="0" w:space="0" w:color="auto"/>
            <w:left w:val="none" w:sz="0" w:space="0" w:color="auto"/>
            <w:bottom w:val="none" w:sz="0" w:space="0" w:color="auto"/>
            <w:right w:val="none" w:sz="0" w:space="0" w:color="auto"/>
          </w:divBdr>
        </w:div>
        <w:div w:id="237443259">
          <w:marLeft w:val="0"/>
          <w:marRight w:val="0"/>
          <w:marTop w:val="0"/>
          <w:marBottom w:val="0"/>
          <w:divBdr>
            <w:top w:val="none" w:sz="0" w:space="0" w:color="auto"/>
            <w:left w:val="none" w:sz="0" w:space="0" w:color="auto"/>
            <w:bottom w:val="none" w:sz="0" w:space="0" w:color="auto"/>
            <w:right w:val="none" w:sz="0" w:space="0" w:color="auto"/>
          </w:divBdr>
        </w:div>
        <w:div w:id="1267466650">
          <w:marLeft w:val="0"/>
          <w:marRight w:val="0"/>
          <w:marTop w:val="0"/>
          <w:marBottom w:val="0"/>
          <w:divBdr>
            <w:top w:val="none" w:sz="0" w:space="0" w:color="auto"/>
            <w:left w:val="none" w:sz="0" w:space="0" w:color="auto"/>
            <w:bottom w:val="none" w:sz="0" w:space="0" w:color="auto"/>
            <w:right w:val="none" w:sz="0" w:space="0" w:color="auto"/>
          </w:divBdr>
        </w:div>
      </w:divsChild>
    </w:div>
    <w:div w:id="1844930735">
      <w:bodyDiv w:val="1"/>
      <w:marLeft w:val="0"/>
      <w:marRight w:val="0"/>
      <w:marTop w:val="0"/>
      <w:marBottom w:val="0"/>
      <w:divBdr>
        <w:top w:val="none" w:sz="0" w:space="0" w:color="auto"/>
        <w:left w:val="none" w:sz="0" w:space="0" w:color="auto"/>
        <w:bottom w:val="none" w:sz="0" w:space="0" w:color="auto"/>
        <w:right w:val="none" w:sz="0" w:space="0" w:color="auto"/>
      </w:divBdr>
    </w:div>
    <w:div w:id="1976641010">
      <w:bodyDiv w:val="1"/>
      <w:marLeft w:val="0"/>
      <w:marRight w:val="0"/>
      <w:marTop w:val="0"/>
      <w:marBottom w:val="0"/>
      <w:divBdr>
        <w:top w:val="none" w:sz="0" w:space="0" w:color="auto"/>
        <w:left w:val="none" w:sz="0" w:space="0" w:color="auto"/>
        <w:bottom w:val="none" w:sz="0" w:space="0" w:color="auto"/>
        <w:right w:val="none" w:sz="0" w:space="0" w:color="auto"/>
      </w:divBdr>
      <w:divsChild>
        <w:div w:id="2003190882">
          <w:marLeft w:val="0"/>
          <w:marRight w:val="0"/>
          <w:marTop w:val="0"/>
          <w:marBottom w:val="0"/>
          <w:divBdr>
            <w:top w:val="none" w:sz="0" w:space="0" w:color="auto"/>
            <w:left w:val="none" w:sz="0" w:space="0" w:color="auto"/>
            <w:bottom w:val="none" w:sz="0" w:space="0" w:color="auto"/>
            <w:right w:val="none" w:sz="0" w:space="0" w:color="auto"/>
          </w:divBdr>
        </w:div>
        <w:div w:id="2113236653">
          <w:marLeft w:val="0"/>
          <w:marRight w:val="0"/>
          <w:marTop w:val="0"/>
          <w:marBottom w:val="0"/>
          <w:divBdr>
            <w:top w:val="none" w:sz="0" w:space="0" w:color="auto"/>
            <w:left w:val="none" w:sz="0" w:space="0" w:color="auto"/>
            <w:bottom w:val="none" w:sz="0" w:space="0" w:color="auto"/>
            <w:right w:val="none" w:sz="0" w:space="0" w:color="auto"/>
          </w:divBdr>
        </w:div>
        <w:div w:id="297802227">
          <w:marLeft w:val="0"/>
          <w:marRight w:val="0"/>
          <w:marTop w:val="0"/>
          <w:marBottom w:val="0"/>
          <w:divBdr>
            <w:top w:val="none" w:sz="0" w:space="0" w:color="auto"/>
            <w:left w:val="none" w:sz="0" w:space="0" w:color="auto"/>
            <w:bottom w:val="none" w:sz="0" w:space="0" w:color="auto"/>
            <w:right w:val="none" w:sz="0" w:space="0" w:color="auto"/>
          </w:divBdr>
        </w:div>
        <w:div w:id="2144108189">
          <w:marLeft w:val="0"/>
          <w:marRight w:val="0"/>
          <w:marTop w:val="0"/>
          <w:marBottom w:val="0"/>
          <w:divBdr>
            <w:top w:val="none" w:sz="0" w:space="0" w:color="auto"/>
            <w:left w:val="none" w:sz="0" w:space="0" w:color="auto"/>
            <w:bottom w:val="none" w:sz="0" w:space="0" w:color="auto"/>
            <w:right w:val="none" w:sz="0" w:space="0" w:color="auto"/>
          </w:divBdr>
        </w:div>
      </w:divsChild>
    </w:div>
    <w:div w:id="2028751142">
      <w:bodyDiv w:val="1"/>
      <w:marLeft w:val="0"/>
      <w:marRight w:val="0"/>
      <w:marTop w:val="0"/>
      <w:marBottom w:val="0"/>
      <w:divBdr>
        <w:top w:val="none" w:sz="0" w:space="0" w:color="auto"/>
        <w:left w:val="none" w:sz="0" w:space="0" w:color="auto"/>
        <w:bottom w:val="none" w:sz="0" w:space="0" w:color="auto"/>
        <w:right w:val="none" w:sz="0" w:space="0" w:color="auto"/>
      </w:divBdr>
      <w:divsChild>
        <w:div w:id="158931627">
          <w:marLeft w:val="0"/>
          <w:marRight w:val="0"/>
          <w:marTop w:val="0"/>
          <w:marBottom w:val="0"/>
          <w:divBdr>
            <w:top w:val="none" w:sz="0" w:space="0" w:color="auto"/>
            <w:left w:val="none" w:sz="0" w:space="0" w:color="auto"/>
            <w:bottom w:val="none" w:sz="0" w:space="0" w:color="auto"/>
            <w:right w:val="none" w:sz="0" w:space="0" w:color="auto"/>
          </w:divBdr>
        </w:div>
        <w:div w:id="256451813">
          <w:marLeft w:val="0"/>
          <w:marRight w:val="0"/>
          <w:marTop w:val="0"/>
          <w:marBottom w:val="0"/>
          <w:divBdr>
            <w:top w:val="none" w:sz="0" w:space="0" w:color="auto"/>
            <w:left w:val="none" w:sz="0" w:space="0" w:color="auto"/>
            <w:bottom w:val="none" w:sz="0" w:space="0" w:color="auto"/>
            <w:right w:val="none" w:sz="0" w:space="0" w:color="auto"/>
          </w:divBdr>
        </w:div>
        <w:div w:id="1735659032">
          <w:marLeft w:val="0"/>
          <w:marRight w:val="0"/>
          <w:marTop w:val="0"/>
          <w:marBottom w:val="0"/>
          <w:divBdr>
            <w:top w:val="none" w:sz="0" w:space="0" w:color="auto"/>
            <w:left w:val="none" w:sz="0" w:space="0" w:color="auto"/>
            <w:bottom w:val="none" w:sz="0" w:space="0" w:color="auto"/>
            <w:right w:val="none" w:sz="0" w:space="0" w:color="auto"/>
          </w:divBdr>
        </w:div>
        <w:div w:id="1043864190">
          <w:marLeft w:val="0"/>
          <w:marRight w:val="0"/>
          <w:marTop w:val="0"/>
          <w:marBottom w:val="0"/>
          <w:divBdr>
            <w:top w:val="none" w:sz="0" w:space="0" w:color="auto"/>
            <w:left w:val="none" w:sz="0" w:space="0" w:color="auto"/>
            <w:bottom w:val="none" w:sz="0" w:space="0" w:color="auto"/>
            <w:right w:val="none" w:sz="0" w:space="0" w:color="auto"/>
          </w:divBdr>
        </w:div>
        <w:div w:id="1734964688">
          <w:marLeft w:val="0"/>
          <w:marRight w:val="0"/>
          <w:marTop w:val="0"/>
          <w:marBottom w:val="0"/>
          <w:divBdr>
            <w:top w:val="none" w:sz="0" w:space="0" w:color="auto"/>
            <w:left w:val="none" w:sz="0" w:space="0" w:color="auto"/>
            <w:bottom w:val="none" w:sz="0" w:space="0" w:color="auto"/>
            <w:right w:val="none" w:sz="0" w:space="0" w:color="auto"/>
          </w:divBdr>
        </w:div>
        <w:div w:id="1429692013">
          <w:marLeft w:val="0"/>
          <w:marRight w:val="0"/>
          <w:marTop w:val="0"/>
          <w:marBottom w:val="0"/>
          <w:divBdr>
            <w:top w:val="none" w:sz="0" w:space="0" w:color="auto"/>
            <w:left w:val="none" w:sz="0" w:space="0" w:color="auto"/>
            <w:bottom w:val="none" w:sz="0" w:space="0" w:color="auto"/>
            <w:right w:val="none" w:sz="0" w:space="0" w:color="auto"/>
          </w:divBdr>
        </w:div>
        <w:div w:id="337969805">
          <w:marLeft w:val="0"/>
          <w:marRight w:val="0"/>
          <w:marTop w:val="0"/>
          <w:marBottom w:val="0"/>
          <w:divBdr>
            <w:top w:val="none" w:sz="0" w:space="0" w:color="auto"/>
            <w:left w:val="none" w:sz="0" w:space="0" w:color="auto"/>
            <w:bottom w:val="none" w:sz="0" w:space="0" w:color="auto"/>
            <w:right w:val="none" w:sz="0" w:space="0" w:color="auto"/>
          </w:divBdr>
        </w:div>
        <w:div w:id="1674406088">
          <w:marLeft w:val="0"/>
          <w:marRight w:val="0"/>
          <w:marTop w:val="0"/>
          <w:marBottom w:val="0"/>
          <w:divBdr>
            <w:top w:val="none" w:sz="0" w:space="0" w:color="auto"/>
            <w:left w:val="none" w:sz="0" w:space="0" w:color="auto"/>
            <w:bottom w:val="none" w:sz="0" w:space="0" w:color="auto"/>
            <w:right w:val="none" w:sz="0" w:space="0" w:color="auto"/>
          </w:divBdr>
        </w:div>
        <w:div w:id="1447458949">
          <w:marLeft w:val="0"/>
          <w:marRight w:val="0"/>
          <w:marTop w:val="0"/>
          <w:marBottom w:val="0"/>
          <w:divBdr>
            <w:top w:val="none" w:sz="0" w:space="0" w:color="auto"/>
            <w:left w:val="none" w:sz="0" w:space="0" w:color="auto"/>
            <w:bottom w:val="none" w:sz="0" w:space="0" w:color="auto"/>
            <w:right w:val="none" w:sz="0" w:space="0" w:color="auto"/>
          </w:divBdr>
        </w:div>
        <w:div w:id="100442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sr.ac.uk/pubs/%09%09%09/pubs/searchdetail.php?PublicationID=14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4642F-2A48-42E6-A1B8-6ED08FEB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16</Pages>
  <Words>7387</Words>
  <Characters>42107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dc:creator>
  <cp:lastModifiedBy>young</cp:lastModifiedBy>
  <cp:revision>11</cp:revision>
  <cp:lastPrinted>2018-10-05T16:41:00Z</cp:lastPrinted>
  <dcterms:created xsi:type="dcterms:W3CDTF">2018-10-06T09:08:00Z</dcterms:created>
  <dcterms:modified xsi:type="dcterms:W3CDTF">2018-10-06T12:52:00Z</dcterms:modified>
</cp:coreProperties>
</file>