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A756" w14:textId="68862E70" w:rsidR="00FC6C07" w:rsidRPr="00590E7D" w:rsidRDefault="00D8792C" w:rsidP="00027544">
      <w:pPr>
        <w:jc w:val="both"/>
        <w:rPr>
          <w:b/>
          <w:color w:val="000000" w:themeColor="text1"/>
        </w:rPr>
      </w:pPr>
      <w:bookmarkStart w:id="0" w:name="_GoBack"/>
      <w:r w:rsidRPr="00590E7D">
        <w:rPr>
          <w:b/>
          <w:color w:val="000000" w:themeColor="text1"/>
        </w:rPr>
        <w:t xml:space="preserve">A mass media campaign is needed to </w:t>
      </w:r>
      <w:r w:rsidR="0034382D" w:rsidRPr="00590E7D">
        <w:rPr>
          <w:b/>
          <w:color w:val="000000" w:themeColor="text1"/>
        </w:rPr>
        <w:t>counter</w:t>
      </w:r>
      <w:r w:rsidRPr="00590E7D">
        <w:rPr>
          <w:b/>
          <w:color w:val="000000" w:themeColor="text1"/>
        </w:rPr>
        <w:t xml:space="preserve"> misconceptions about back pain</w:t>
      </w:r>
      <w:r w:rsidR="0034382D" w:rsidRPr="00590E7D">
        <w:rPr>
          <w:b/>
          <w:color w:val="000000" w:themeColor="text1"/>
        </w:rPr>
        <w:t xml:space="preserve"> and promote high</w:t>
      </w:r>
      <w:r w:rsidR="005E25A9" w:rsidRPr="00590E7D">
        <w:rPr>
          <w:b/>
          <w:color w:val="000000" w:themeColor="text1"/>
        </w:rPr>
        <w:t>er</w:t>
      </w:r>
      <w:r w:rsidR="009C6735">
        <w:rPr>
          <w:b/>
          <w:color w:val="000000" w:themeColor="text1"/>
        </w:rPr>
        <w:t xml:space="preserve"> value care</w:t>
      </w:r>
    </w:p>
    <w:bookmarkEnd w:id="0"/>
    <w:p w14:paraId="030F707A" w14:textId="77777777" w:rsidR="00B558F2" w:rsidRPr="00590E7D" w:rsidRDefault="00B558F2" w:rsidP="00027544">
      <w:pPr>
        <w:tabs>
          <w:tab w:val="center" w:pos="4513"/>
        </w:tabs>
        <w:jc w:val="both"/>
        <w:rPr>
          <w:b/>
          <w:color w:val="000000" w:themeColor="text1"/>
        </w:rPr>
      </w:pPr>
    </w:p>
    <w:p w14:paraId="025AB0D2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Mary O’Keeffe</w:t>
      </w:r>
      <w:r w:rsidR="009E3DBC" w:rsidRPr="00590E7D">
        <w:rPr>
          <w:bCs/>
          <w:color w:val="000000" w:themeColor="text1"/>
          <w:vertAlign w:val="superscript"/>
        </w:rPr>
        <w:t>1,2</w:t>
      </w:r>
    </w:p>
    <w:p w14:paraId="6C3E1A1E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Chris G. Maher</w:t>
      </w:r>
      <w:r w:rsidRPr="00590E7D">
        <w:rPr>
          <w:bCs/>
          <w:color w:val="000000" w:themeColor="text1"/>
          <w:vertAlign w:val="superscript"/>
        </w:rPr>
        <w:t>1</w:t>
      </w:r>
      <w:r w:rsidR="008E4C0D" w:rsidRPr="00590E7D">
        <w:rPr>
          <w:bCs/>
          <w:color w:val="000000" w:themeColor="text1"/>
          <w:vertAlign w:val="superscript"/>
        </w:rPr>
        <w:t>,2</w:t>
      </w:r>
    </w:p>
    <w:p w14:paraId="257CD9B8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Tasha R. Stanton</w:t>
      </w:r>
      <w:r w:rsidRPr="00590E7D">
        <w:rPr>
          <w:bCs/>
          <w:color w:val="000000" w:themeColor="text1"/>
          <w:vertAlign w:val="superscript"/>
        </w:rPr>
        <w:t>3</w:t>
      </w:r>
      <w:r w:rsidR="008E4C0D" w:rsidRPr="00590E7D">
        <w:rPr>
          <w:bCs/>
          <w:color w:val="000000" w:themeColor="text1"/>
          <w:vertAlign w:val="superscript"/>
        </w:rPr>
        <w:t>,4</w:t>
      </w:r>
    </w:p>
    <w:p w14:paraId="41B93E89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Neil E. O’Connell</w:t>
      </w:r>
      <w:r w:rsidR="008E4C0D" w:rsidRPr="00590E7D">
        <w:rPr>
          <w:bCs/>
          <w:color w:val="000000" w:themeColor="text1"/>
          <w:vertAlign w:val="superscript"/>
        </w:rPr>
        <w:t>5</w:t>
      </w:r>
    </w:p>
    <w:p w14:paraId="7AA0EDAD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Sameer Deshpande</w:t>
      </w:r>
      <w:r w:rsidR="008E4C0D" w:rsidRPr="00590E7D">
        <w:rPr>
          <w:bCs/>
          <w:color w:val="000000" w:themeColor="text1"/>
          <w:vertAlign w:val="superscript"/>
        </w:rPr>
        <w:t>6</w:t>
      </w:r>
    </w:p>
    <w:p w14:paraId="0ACAF2DF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Douglas P. Gross</w:t>
      </w:r>
      <w:r w:rsidR="008E4C0D" w:rsidRPr="00590E7D">
        <w:rPr>
          <w:bCs/>
          <w:color w:val="000000" w:themeColor="text1"/>
          <w:vertAlign w:val="superscript"/>
        </w:rPr>
        <w:t>7</w:t>
      </w:r>
    </w:p>
    <w:p w14:paraId="26D41394" w14:textId="77777777" w:rsidR="00B558F2" w:rsidRPr="00590E7D" w:rsidRDefault="00D8792C" w:rsidP="00027544">
      <w:pPr>
        <w:jc w:val="both"/>
        <w:rPr>
          <w:bCs/>
          <w:color w:val="000000" w:themeColor="text1"/>
          <w:vertAlign w:val="superscript"/>
        </w:rPr>
      </w:pPr>
      <w:r w:rsidRPr="00590E7D">
        <w:rPr>
          <w:bCs/>
          <w:color w:val="000000" w:themeColor="text1"/>
        </w:rPr>
        <w:t>Kieran O’Sullivan</w:t>
      </w:r>
      <w:r w:rsidRPr="00590E7D">
        <w:rPr>
          <w:bCs/>
          <w:color w:val="000000" w:themeColor="text1"/>
          <w:vertAlign w:val="superscript"/>
        </w:rPr>
        <w:t>8</w:t>
      </w:r>
      <w:r w:rsidR="008E4C0D" w:rsidRPr="00590E7D">
        <w:rPr>
          <w:bCs/>
          <w:color w:val="000000" w:themeColor="text1"/>
          <w:vertAlign w:val="superscript"/>
        </w:rPr>
        <w:t>,9</w:t>
      </w:r>
    </w:p>
    <w:p w14:paraId="30FFE1F1" w14:textId="77777777" w:rsidR="00B558F2" w:rsidRPr="00590E7D" w:rsidRDefault="00B558F2" w:rsidP="00027544">
      <w:pPr>
        <w:jc w:val="both"/>
        <w:rPr>
          <w:bCs/>
          <w:color w:val="000000" w:themeColor="text1"/>
        </w:rPr>
      </w:pPr>
    </w:p>
    <w:p w14:paraId="638BB7D6" w14:textId="77777777" w:rsidR="00B558F2" w:rsidRPr="00590E7D" w:rsidRDefault="00D8792C" w:rsidP="00027544">
      <w:pPr>
        <w:jc w:val="both"/>
        <w:rPr>
          <w:bCs/>
          <w:color w:val="000000" w:themeColor="text1"/>
        </w:rPr>
      </w:pPr>
      <w:r w:rsidRPr="00590E7D">
        <w:rPr>
          <w:bCs/>
          <w:color w:val="000000" w:themeColor="text1"/>
          <w:vertAlign w:val="superscript"/>
        </w:rPr>
        <w:t xml:space="preserve">1 </w:t>
      </w:r>
      <w:r w:rsidRPr="00590E7D">
        <w:rPr>
          <w:bCs/>
          <w:color w:val="000000" w:themeColor="text1"/>
        </w:rPr>
        <w:t>School of Public Health, Faculty of Medicine and Health, University of Sydney, Sydney, Australia.</w:t>
      </w:r>
    </w:p>
    <w:p w14:paraId="02186C0E" w14:textId="77777777" w:rsidR="00B558F2" w:rsidRPr="00590E7D" w:rsidRDefault="00B558F2" w:rsidP="00027544">
      <w:pPr>
        <w:jc w:val="both"/>
        <w:rPr>
          <w:bCs/>
          <w:color w:val="000000" w:themeColor="text1"/>
        </w:rPr>
      </w:pPr>
    </w:p>
    <w:p w14:paraId="7DF60A5B" w14:textId="3B9D3CF0" w:rsidR="008E4C0D" w:rsidRPr="00590E7D" w:rsidRDefault="00D8792C" w:rsidP="00027544">
      <w:pPr>
        <w:jc w:val="both"/>
        <w:rPr>
          <w:bCs/>
          <w:color w:val="000000" w:themeColor="text1"/>
        </w:rPr>
      </w:pPr>
      <w:r w:rsidRPr="00590E7D">
        <w:rPr>
          <w:bCs/>
          <w:color w:val="000000" w:themeColor="text1"/>
          <w:vertAlign w:val="superscript"/>
        </w:rPr>
        <w:t>2</w:t>
      </w:r>
      <w:r w:rsidRPr="00590E7D">
        <w:rPr>
          <w:bCs/>
          <w:color w:val="000000" w:themeColor="text1"/>
        </w:rPr>
        <w:t xml:space="preserve"> Institute for Musculoskeletal Health, Sydney, Australia</w:t>
      </w:r>
      <w:r w:rsidR="00590E7D" w:rsidRPr="00590E7D">
        <w:rPr>
          <w:bCs/>
          <w:color w:val="000000" w:themeColor="text1"/>
        </w:rPr>
        <w:t>.</w:t>
      </w:r>
    </w:p>
    <w:p w14:paraId="62F84AE2" w14:textId="77777777" w:rsidR="008E4C0D" w:rsidRPr="00590E7D" w:rsidRDefault="008E4C0D" w:rsidP="00027544">
      <w:pPr>
        <w:jc w:val="both"/>
        <w:rPr>
          <w:bCs/>
          <w:color w:val="000000" w:themeColor="text1"/>
        </w:rPr>
      </w:pPr>
    </w:p>
    <w:p w14:paraId="6A5D9A63" w14:textId="77777777" w:rsidR="00B558F2" w:rsidRPr="00590E7D" w:rsidRDefault="00D8792C" w:rsidP="00027544">
      <w:pPr>
        <w:jc w:val="both"/>
        <w:rPr>
          <w:color w:val="000000" w:themeColor="text1"/>
          <w:spacing w:val="3"/>
        </w:rPr>
      </w:pPr>
      <w:r w:rsidRPr="00590E7D">
        <w:rPr>
          <w:color w:val="000000" w:themeColor="text1"/>
          <w:spacing w:val="3"/>
          <w:vertAlign w:val="superscript"/>
        </w:rPr>
        <w:t>3</w:t>
      </w:r>
      <w:r w:rsidRPr="00590E7D">
        <w:rPr>
          <w:color w:val="000000" w:themeColor="text1"/>
          <w:spacing w:val="3"/>
        </w:rPr>
        <w:t>School of Health Sciences &amp; PainAdelaide Consortium, The University of South Australia, Adelaide, SA, Australia.</w:t>
      </w:r>
    </w:p>
    <w:p w14:paraId="23F8C373" w14:textId="77777777" w:rsidR="00B558F2" w:rsidRPr="00590E7D" w:rsidRDefault="00B558F2" w:rsidP="00027544">
      <w:pPr>
        <w:jc w:val="both"/>
        <w:rPr>
          <w:color w:val="000000" w:themeColor="text1"/>
          <w:spacing w:val="3"/>
        </w:rPr>
      </w:pPr>
    </w:p>
    <w:p w14:paraId="196ED371" w14:textId="77777777" w:rsidR="00B558F2" w:rsidRPr="00590E7D" w:rsidRDefault="00D8792C" w:rsidP="00027544">
      <w:pPr>
        <w:spacing w:after="160"/>
        <w:jc w:val="both"/>
        <w:rPr>
          <w:bCs/>
          <w:color w:val="000000" w:themeColor="text1"/>
          <w:vertAlign w:val="superscript"/>
        </w:rPr>
      </w:pPr>
      <w:r w:rsidRPr="00590E7D">
        <w:rPr>
          <w:color w:val="000000" w:themeColor="text1"/>
          <w:spacing w:val="3"/>
          <w:vertAlign w:val="superscript"/>
        </w:rPr>
        <w:t xml:space="preserve">4 </w:t>
      </w:r>
      <w:r w:rsidRPr="00590E7D">
        <w:rPr>
          <w:color w:val="000000" w:themeColor="text1"/>
          <w:spacing w:val="3"/>
        </w:rPr>
        <w:t>Neuroscience Research Australia, Randwick, NSW, Australia.</w:t>
      </w:r>
    </w:p>
    <w:p w14:paraId="4BB26686" w14:textId="77777777" w:rsidR="00B558F2" w:rsidRPr="00590E7D" w:rsidRDefault="00D8792C" w:rsidP="00027544">
      <w:pPr>
        <w:spacing w:after="160"/>
        <w:jc w:val="both"/>
        <w:rPr>
          <w:color w:val="000000" w:themeColor="text1"/>
          <w:shd w:val="clear" w:color="auto" w:fill="FFFFFF"/>
        </w:rPr>
      </w:pPr>
      <w:r w:rsidRPr="00590E7D">
        <w:rPr>
          <w:bCs/>
          <w:color w:val="000000" w:themeColor="text1"/>
          <w:vertAlign w:val="superscript"/>
        </w:rPr>
        <w:t xml:space="preserve">5 </w:t>
      </w:r>
      <w:r w:rsidRPr="00590E7D">
        <w:rPr>
          <w:color w:val="000000" w:themeColor="text1"/>
          <w:shd w:val="clear" w:color="auto" w:fill="FFFFFF"/>
        </w:rPr>
        <w:t>Health Economics Research Group, Institute of Environment, Health and Societies, Department of Clinical Sciences, Brunel University London, Uxbridge, United Kingdom.</w:t>
      </w:r>
    </w:p>
    <w:p w14:paraId="1613FFAB" w14:textId="77777777" w:rsidR="00B558F2" w:rsidRPr="00590E7D" w:rsidRDefault="00D8792C" w:rsidP="00027544">
      <w:pPr>
        <w:jc w:val="both"/>
        <w:rPr>
          <w:color w:val="000000" w:themeColor="text1"/>
        </w:rPr>
      </w:pPr>
      <w:r w:rsidRPr="00590E7D">
        <w:rPr>
          <w:color w:val="000000" w:themeColor="text1"/>
          <w:vertAlign w:val="superscript"/>
        </w:rPr>
        <w:t xml:space="preserve">6 </w:t>
      </w:r>
      <w:r w:rsidRPr="00590E7D">
        <w:rPr>
          <w:color w:val="000000" w:themeColor="text1"/>
        </w:rPr>
        <w:t xml:space="preserve">Department of Marketing, Griffith Business School, Griffith University, Brisbane, QLD, Australia. </w:t>
      </w:r>
    </w:p>
    <w:p w14:paraId="1844068F" w14:textId="77777777" w:rsidR="00B558F2" w:rsidRPr="00590E7D" w:rsidRDefault="00B558F2" w:rsidP="00027544">
      <w:pPr>
        <w:jc w:val="both"/>
        <w:rPr>
          <w:color w:val="000000" w:themeColor="text1"/>
        </w:rPr>
      </w:pPr>
    </w:p>
    <w:p w14:paraId="04BC61B6" w14:textId="77777777" w:rsidR="00B558F2" w:rsidRPr="00590E7D" w:rsidRDefault="00D8792C" w:rsidP="00027544">
      <w:pPr>
        <w:spacing w:after="160"/>
        <w:jc w:val="both"/>
        <w:rPr>
          <w:color w:val="000000" w:themeColor="text1"/>
        </w:rPr>
      </w:pPr>
      <w:r w:rsidRPr="00590E7D">
        <w:rPr>
          <w:color w:val="000000" w:themeColor="text1"/>
          <w:vertAlign w:val="superscript"/>
        </w:rPr>
        <w:t xml:space="preserve">7 </w:t>
      </w:r>
      <w:r w:rsidRPr="00590E7D">
        <w:rPr>
          <w:color w:val="000000" w:themeColor="text1"/>
        </w:rPr>
        <w:t>Department of Physical Therapy</w:t>
      </w:r>
      <w:r w:rsidRPr="00590E7D">
        <w:rPr>
          <w:color w:val="000000" w:themeColor="text1"/>
          <w:vertAlign w:val="superscript"/>
        </w:rPr>
        <w:t xml:space="preserve">, </w:t>
      </w:r>
      <w:r w:rsidRPr="00590E7D">
        <w:rPr>
          <w:color w:val="000000" w:themeColor="text1"/>
        </w:rPr>
        <w:t>University of Alberta</w:t>
      </w:r>
      <w:r w:rsidR="007D77C0" w:rsidRPr="00590E7D">
        <w:rPr>
          <w:color w:val="000000" w:themeColor="text1"/>
        </w:rPr>
        <w:t>,</w:t>
      </w:r>
      <w:r w:rsidRPr="00590E7D">
        <w:rPr>
          <w:color w:val="000000" w:themeColor="text1"/>
          <w:vertAlign w:val="superscript"/>
        </w:rPr>
        <w:t xml:space="preserve"> </w:t>
      </w:r>
      <w:r w:rsidRPr="00590E7D">
        <w:rPr>
          <w:color w:val="000000" w:themeColor="text1"/>
        </w:rPr>
        <w:t xml:space="preserve">Edmonton, Alberta, Canada. </w:t>
      </w:r>
    </w:p>
    <w:p w14:paraId="49FD3AB7" w14:textId="77777777" w:rsidR="00B558F2" w:rsidRPr="00590E7D" w:rsidRDefault="00D8792C" w:rsidP="00027544">
      <w:pPr>
        <w:jc w:val="both"/>
        <w:rPr>
          <w:bCs/>
          <w:color w:val="000000" w:themeColor="text1"/>
        </w:rPr>
      </w:pPr>
      <w:r w:rsidRPr="00590E7D">
        <w:rPr>
          <w:bCs/>
          <w:color w:val="000000" w:themeColor="text1"/>
          <w:vertAlign w:val="superscript"/>
        </w:rPr>
        <w:t xml:space="preserve">8 </w:t>
      </w:r>
      <w:r w:rsidRPr="00590E7D">
        <w:rPr>
          <w:bCs/>
          <w:color w:val="000000" w:themeColor="text1"/>
        </w:rPr>
        <w:t>Sports Spine Centre, Aspetar Orthopaedic and Sports Medicine Hospital, Doha, Qatar.</w:t>
      </w:r>
    </w:p>
    <w:p w14:paraId="12C24FC8" w14:textId="77777777" w:rsidR="00B558F2" w:rsidRPr="00590E7D" w:rsidRDefault="00B558F2" w:rsidP="00027544">
      <w:pPr>
        <w:jc w:val="both"/>
        <w:rPr>
          <w:bCs/>
          <w:color w:val="000000" w:themeColor="text1"/>
        </w:rPr>
      </w:pPr>
    </w:p>
    <w:p w14:paraId="437B6234" w14:textId="77777777" w:rsidR="00B558F2" w:rsidRPr="00590E7D" w:rsidRDefault="00D8792C" w:rsidP="00027544">
      <w:pPr>
        <w:jc w:val="both"/>
        <w:rPr>
          <w:bCs/>
          <w:color w:val="000000" w:themeColor="text1"/>
        </w:rPr>
      </w:pPr>
      <w:r w:rsidRPr="00590E7D">
        <w:rPr>
          <w:bCs/>
          <w:color w:val="000000" w:themeColor="text1"/>
          <w:vertAlign w:val="superscript"/>
        </w:rPr>
        <w:t xml:space="preserve">9 </w:t>
      </w:r>
      <w:r w:rsidRPr="00590E7D">
        <w:rPr>
          <w:bCs/>
          <w:color w:val="000000" w:themeColor="text1"/>
        </w:rPr>
        <w:t>School of Allied Health, University of Limerick, Limerick, Ireland.</w:t>
      </w:r>
    </w:p>
    <w:p w14:paraId="6F7347B8" w14:textId="77777777" w:rsidR="00B558F2" w:rsidRPr="00590E7D" w:rsidRDefault="00B558F2" w:rsidP="00027544">
      <w:pPr>
        <w:pStyle w:val="paragraph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</w:rPr>
      </w:pPr>
    </w:p>
    <w:p w14:paraId="34934E16" w14:textId="77777777" w:rsidR="00B558F2" w:rsidRPr="00590E7D" w:rsidRDefault="00B558F2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color w:val="000000" w:themeColor="text1"/>
        </w:rPr>
      </w:pPr>
    </w:p>
    <w:p w14:paraId="12277FBB" w14:textId="77777777" w:rsidR="00B558F2" w:rsidRPr="00590E7D" w:rsidRDefault="00D8792C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</w:rPr>
      </w:pPr>
      <w:r w:rsidRPr="00590E7D">
        <w:rPr>
          <w:rStyle w:val="normaltextrun"/>
          <w:rFonts w:eastAsiaTheme="majorEastAsia"/>
          <w:b/>
          <w:bCs/>
          <w:color w:val="000000" w:themeColor="text1"/>
        </w:rPr>
        <w:t>Corresponding author</w:t>
      </w:r>
      <w:r w:rsidRPr="00590E7D">
        <w:rPr>
          <w:rStyle w:val="normaltextrun"/>
          <w:rFonts w:eastAsiaTheme="majorEastAsia"/>
          <w:color w:val="000000" w:themeColor="text1"/>
        </w:rPr>
        <w:t>:</w:t>
      </w:r>
      <w:r w:rsidRPr="00590E7D">
        <w:rPr>
          <w:rStyle w:val="eop"/>
          <w:color w:val="000000" w:themeColor="text1"/>
        </w:rPr>
        <w:t> </w:t>
      </w:r>
    </w:p>
    <w:p w14:paraId="105BE554" w14:textId="77777777" w:rsidR="00B558F2" w:rsidRPr="00590E7D" w:rsidRDefault="00B558F2" w:rsidP="00027544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30798A6E" w14:textId="77777777" w:rsidR="00B558F2" w:rsidRPr="00590E7D" w:rsidRDefault="00D8792C" w:rsidP="00027544">
      <w:pPr>
        <w:jc w:val="both"/>
        <w:rPr>
          <w:color w:val="000000" w:themeColor="text1"/>
        </w:rPr>
      </w:pPr>
      <w:r w:rsidRPr="00590E7D">
        <w:rPr>
          <w:color w:val="000000" w:themeColor="text1"/>
        </w:rPr>
        <w:t>Dr. Mary O'Keeffe</w:t>
      </w:r>
    </w:p>
    <w:p w14:paraId="41C0594E" w14:textId="77777777" w:rsidR="00B558F2" w:rsidRPr="00590E7D" w:rsidRDefault="00D8792C" w:rsidP="00027544">
      <w:pPr>
        <w:jc w:val="both"/>
        <w:rPr>
          <w:bCs/>
          <w:color w:val="000000" w:themeColor="text1"/>
        </w:rPr>
      </w:pPr>
      <w:r w:rsidRPr="00590E7D">
        <w:rPr>
          <w:bCs/>
          <w:color w:val="000000" w:themeColor="text1"/>
        </w:rPr>
        <w:t>School of Public Health, Faculty of Medicine and Health, University of Sydney, Sydney, NSW, Australia</w:t>
      </w:r>
    </w:p>
    <w:p w14:paraId="0B2ED9C9" w14:textId="77777777" w:rsidR="00B558F2" w:rsidRPr="00590E7D" w:rsidRDefault="00D8792C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 w:themeColor="text1"/>
          <w:lang w:val="da-DK"/>
        </w:rPr>
      </w:pPr>
      <w:r w:rsidRPr="00590E7D">
        <w:rPr>
          <w:rStyle w:val="normaltextrun"/>
          <w:rFonts w:eastAsiaTheme="majorEastAsia"/>
          <w:color w:val="000000" w:themeColor="text1"/>
          <w:lang w:val="da-DK"/>
        </w:rPr>
        <w:t xml:space="preserve">E: </w:t>
      </w:r>
      <w:hyperlink r:id="rId5" w:history="1">
        <w:r w:rsidRPr="00590E7D">
          <w:rPr>
            <w:rStyle w:val="Hyperlink"/>
            <w:color w:val="000000" w:themeColor="text1"/>
            <w:lang w:val="da-DK"/>
          </w:rPr>
          <w:t>Mary.OKeeffe@sydney.edu.au</w:t>
        </w:r>
      </w:hyperlink>
      <w:r w:rsidRPr="00590E7D">
        <w:rPr>
          <w:color w:val="000000" w:themeColor="text1"/>
          <w:lang w:val="da-DK"/>
        </w:rPr>
        <w:t xml:space="preserve"> </w:t>
      </w:r>
    </w:p>
    <w:p w14:paraId="1F659C55" w14:textId="77777777" w:rsidR="00B558F2" w:rsidRPr="00590E7D" w:rsidRDefault="00D8792C" w:rsidP="00027544">
      <w:pPr>
        <w:jc w:val="both"/>
        <w:rPr>
          <w:rStyle w:val="normaltextrun"/>
          <w:rFonts w:eastAsiaTheme="majorEastAsia"/>
          <w:color w:val="000000" w:themeColor="text1"/>
        </w:rPr>
      </w:pPr>
      <w:r w:rsidRPr="00590E7D">
        <w:rPr>
          <w:rStyle w:val="normaltextrun"/>
          <w:rFonts w:eastAsiaTheme="majorEastAsia"/>
          <w:color w:val="000000" w:themeColor="text1"/>
        </w:rPr>
        <w:t>T: +612 8627 6856</w:t>
      </w:r>
    </w:p>
    <w:p w14:paraId="182B3815" w14:textId="77777777" w:rsidR="00B558F2" w:rsidRPr="00590E7D" w:rsidRDefault="00B558F2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 w:themeColor="text1"/>
        </w:rPr>
      </w:pPr>
    </w:p>
    <w:p w14:paraId="4D1330E1" w14:textId="77777777" w:rsidR="00B558F2" w:rsidRPr="00590E7D" w:rsidRDefault="00B558F2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color w:val="000000" w:themeColor="text1"/>
        </w:rPr>
      </w:pPr>
    </w:p>
    <w:p w14:paraId="74470ADE" w14:textId="6ACB99CF" w:rsidR="00B558F2" w:rsidRPr="00590E7D" w:rsidRDefault="00D8792C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 w:themeColor="text1"/>
        </w:rPr>
      </w:pPr>
      <w:r w:rsidRPr="00590E7D">
        <w:rPr>
          <w:rStyle w:val="normaltextrun"/>
          <w:rFonts w:eastAsiaTheme="majorEastAsia"/>
          <w:b/>
          <w:bCs/>
          <w:color w:val="000000" w:themeColor="text1"/>
        </w:rPr>
        <w:t>Word count:</w:t>
      </w:r>
      <w:r w:rsidR="0088394D" w:rsidRPr="00590E7D">
        <w:rPr>
          <w:rStyle w:val="normaltextrun"/>
          <w:rFonts w:eastAsiaTheme="majorEastAsia"/>
          <w:b/>
          <w:bCs/>
          <w:color w:val="000000" w:themeColor="text1"/>
        </w:rPr>
        <w:t xml:space="preserve"> </w:t>
      </w:r>
      <w:r>
        <w:rPr>
          <w:rStyle w:val="normaltextrun"/>
          <w:rFonts w:eastAsiaTheme="majorEastAsia"/>
          <w:bCs/>
          <w:color w:val="000000" w:themeColor="text1"/>
        </w:rPr>
        <w:t>799</w:t>
      </w:r>
    </w:p>
    <w:p w14:paraId="6478CC66" w14:textId="77777777" w:rsidR="00B558F2" w:rsidRPr="00590E7D" w:rsidRDefault="00B558F2" w:rsidP="0002754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color w:val="000000" w:themeColor="text1"/>
        </w:rPr>
      </w:pPr>
    </w:p>
    <w:p w14:paraId="094658AC" w14:textId="77777777" w:rsidR="00B558F2" w:rsidRPr="00590E7D" w:rsidRDefault="00D8792C" w:rsidP="00027544">
      <w:pPr>
        <w:jc w:val="both"/>
        <w:rPr>
          <w:rStyle w:val="normaltextrun"/>
          <w:rFonts w:eastAsiaTheme="majorEastAsia"/>
          <w:color w:val="000000" w:themeColor="text1"/>
        </w:rPr>
      </w:pPr>
      <w:r w:rsidRPr="00590E7D">
        <w:rPr>
          <w:rStyle w:val="normaltextrun"/>
          <w:rFonts w:eastAsiaTheme="majorEastAsia"/>
          <w:b/>
          <w:color w:val="000000" w:themeColor="text1"/>
        </w:rPr>
        <w:t>Keywords:</w:t>
      </w:r>
      <w:r w:rsidR="005B10BD" w:rsidRPr="00590E7D">
        <w:rPr>
          <w:rStyle w:val="normaltextrun"/>
          <w:rFonts w:eastAsiaTheme="majorEastAsia"/>
          <w:color w:val="000000" w:themeColor="text1"/>
        </w:rPr>
        <w:t xml:space="preserve"> back</w:t>
      </w:r>
      <w:r w:rsidRPr="00590E7D">
        <w:rPr>
          <w:rStyle w:val="normaltextrun"/>
          <w:rFonts w:eastAsiaTheme="majorEastAsia"/>
          <w:color w:val="000000" w:themeColor="text1"/>
        </w:rPr>
        <w:t xml:space="preserve"> pain, public health, campaign</w:t>
      </w:r>
    </w:p>
    <w:p w14:paraId="6AC47C5F" w14:textId="77777777" w:rsidR="00B558F2" w:rsidRPr="00590E7D" w:rsidRDefault="00B558F2" w:rsidP="00027544">
      <w:pPr>
        <w:jc w:val="both"/>
        <w:rPr>
          <w:rStyle w:val="normaltextrun"/>
          <w:rFonts w:eastAsiaTheme="majorEastAsia"/>
          <w:color w:val="000000" w:themeColor="text1"/>
        </w:rPr>
      </w:pPr>
    </w:p>
    <w:p w14:paraId="0EE44A11" w14:textId="77777777" w:rsidR="00B558F2" w:rsidRPr="00590E7D" w:rsidRDefault="00B558F2" w:rsidP="00027544">
      <w:pPr>
        <w:jc w:val="both"/>
        <w:rPr>
          <w:rStyle w:val="normaltextrun"/>
          <w:rFonts w:eastAsiaTheme="majorEastAsia"/>
          <w:color w:val="000000" w:themeColor="text1"/>
        </w:rPr>
      </w:pPr>
    </w:p>
    <w:p w14:paraId="66FA23E6" w14:textId="77777777" w:rsidR="00B558F2" w:rsidRPr="00590E7D" w:rsidRDefault="00B558F2" w:rsidP="00027544">
      <w:pPr>
        <w:jc w:val="both"/>
        <w:rPr>
          <w:rStyle w:val="normaltextrun"/>
          <w:rFonts w:eastAsiaTheme="majorEastAsia"/>
          <w:color w:val="000000" w:themeColor="text1"/>
        </w:rPr>
      </w:pPr>
    </w:p>
    <w:p w14:paraId="25401176" w14:textId="77777777" w:rsidR="00B558F2" w:rsidRPr="00590E7D" w:rsidRDefault="00B558F2" w:rsidP="00027544">
      <w:pPr>
        <w:jc w:val="both"/>
        <w:rPr>
          <w:rStyle w:val="normaltextrun"/>
          <w:rFonts w:eastAsiaTheme="majorEastAsia"/>
          <w:color w:val="000000" w:themeColor="text1"/>
        </w:rPr>
      </w:pPr>
    </w:p>
    <w:p w14:paraId="25EAACB7" w14:textId="77777777" w:rsidR="00B558F2" w:rsidRPr="00590E7D" w:rsidRDefault="00B558F2" w:rsidP="00027544">
      <w:pPr>
        <w:tabs>
          <w:tab w:val="center" w:pos="4513"/>
        </w:tabs>
        <w:jc w:val="both"/>
        <w:rPr>
          <w:b/>
          <w:color w:val="000000" w:themeColor="text1"/>
        </w:rPr>
      </w:pPr>
    </w:p>
    <w:p w14:paraId="36F0C1F2" w14:textId="18F16557" w:rsidR="00B558F2" w:rsidRPr="00590E7D" w:rsidRDefault="00D8792C" w:rsidP="00027544">
      <w:pPr>
        <w:tabs>
          <w:tab w:val="center" w:pos="4513"/>
        </w:tabs>
        <w:jc w:val="both"/>
        <w:rPr>
          <w:color w:val="000000" w:themeColor="text1"/>
        </w:rPr>
      </w:pPr>
      <w:r w:rsidRPr="00590E7D">
        <w:rPr>
          <w:color w:val="000000" w:themeColor="text1"/>
        </w:rPr>
        <w:lastRenderedPageBreak/>
        <w:t>Back pain is</w:t>
      </w:r>
      <w:r w:rsidR="002B0F38" w:rsidRPr="00590E7D">
        <w:rPr>
          <w:color w:val="000000" w:themeColor="text1"/>
        </w:rPr>
        <w:t xml:space="preserve"> </w:t>
      </w:r>
      <w:r w:rsidRPr="00590E7D">
        <w:rPr>
          <w:color w:val="000000" w:themeColor="text1"/>
        </w:rPr>
        <w:t>saddled by misconceptions that contribute to low</w:t>
      </w:r>
      <w:r w:rsidR="006F068E" w:rsidRPr="00590E7D">
        <w:rPr>
          <w:color w:val="000000" w:themeColor="text1"/>
        </w:rPr>
        <w:t>-</w:t>
      </w:r>
      <w:r w:rsidRPr="00590E7D">
        <w:rPr>
          <w:color w:val="000000" w:themeColor="text1"/>
        </w:rPr>
        <w:t xml:space="preserve">value care and poor outcomes. Many patients and clinicians mistakenly view </w:t>
      </w:r>
      <w:r w:rsidR="000D1AF5" w:rsidRPr="00590E7D">
        <w:rPr>
          <w:color w:val="000000" w:themeColor="text1"/>
        </w:rPr>
        <w:t>the spine</w:t>
      </w:r>
      <w:r w:rsidRPr="00590E7D">
        <w:rPr>
          <w:color w:val="000000" w:themeColor="text1"/>
        </w:rPr>
        <w:t xml:space="preserve"> as fragile, </w:t>
      </w:r>
      <w:r w:rsidR="009E3DBC" w:rsidRPr="00590E7D">
        <w:rPr>
          <w:color w:val="000000" w:themeColor="text1"/>
        </w:rPr>
        <w:t xml:space="preserve">believe </w:t>
      </w:r>
      <w:r w:rsidRPr="00590E7D">
        <w:rPr>
          <w:color w:val="000000" w:themeColor="text1"/>
        </w:rPr>
        <w:t xml:space="preserve">that pain equates to damage, and over-emphasise the role and value of </w:t>
      </w:r>
      <w:r w:rsidR="00D6284E" w:rsidRPr="00590E7D">
        <w:rPr>
          <w:color w:val="000000" w:themeColor="text1"/>
        </w:rPr>
        <w:t xml:space="preserve">rest, </w:t>
      </w:r>
      <w:r w:rsidRPr="00590E7D">
        <w:rPr>
          <w:color w:val="000000" w:themeColor="text1"/>
        </w:rPr>
        <w:t xml:space="preserve">imaging, </w:t>
      </w:r>
      <w:r w:rsidR="0034382D" w:rsidRPr="00590E7D">
        <w:rPr>
          <w:color w:val="000000" w:themeColor="text1"/>
        </w:rPr>
        <w:t>medication</w:t>
      </w:r>
      <w:r w:rsidR="007D77C0" w:rsidRPr="00590E7D">
        <w:rPr>
          <w:color w:val="000000" w:themeColor="text1"/>
        </w:rPr>
        <w:t>,</w:t>
      </w:r>
      <w:r w:rsidRPr="00590E7D">
        <w:rPr>
          <w:color w:val="000000" w:themeColor="text1"/>
        </w:rPr>
        <w:t xml:space="preserve"> and surgery</w:t>
      </w:r>
      <w:r w:rsidR="000D1AF5" w:rsidRPr="00590E7D">
        <w:rPr>
          <w:color w:val="000000" w:themeColor="text1"/>
        </w:rPr>
        <w:t>.</w:t>
      </w:r>
      <w:r w:rsidR="00FC6C07" w:rsidRPr="00590E7D">
        <w:rPr>
          <w:color w:val="000000" w:themeColor="text1"/>
          <w:vertAlign w:val="superscript"/>
        </w:rPr>
        <w:t>1</w:t>
      </w:r>
      <w:r w:rsidR="000D1AF5" w:rsidRPr="00590E7D">
        <w:rPr>
          <w:color w:val="000000" w:themeColor="text1"/>
        </w:rPr>
        <w:t xml:space="preserve"> </w:t>
      </w:r>
      <w:r w:rsidR="0034382D" w:rsidRPr="00590E7D">
        <w:rPr>
          <w:color w:val="000000" w:themeColor="text1"/>
        </w:rPr>
        <w:t>G</w:t>
      </w:r>
      <w:r w:rsidRPr="00590E7D">
        <w:rPr>
          <w:color w:val="000000" w:themeColor="text1"/>
        </w:rPr>
        <w:t xml:space="preserve">uideline-based care will </w:t>
      </w:r>
      <w:r w:rsidR="0034382D" w:rsidRPr="00590E7D">
        <w:rPr>
          <w:color w:val="000000" w:themeColor="text1"/>
        </w:rPr>
        <w:t xml:space="preserve">not </w:t>
      </w:r>
      <w:r w:rsidRPr="00590E7D">
        <w:rPr>
          <w:color w:val="000000" w:themeColor="text1"/>
        </w:rPr>
        <w:t xml:space="preserve">be </w:t>
      </w:r>
      <w:r w:rsidR="0034382D" w:rsidRPr="00590E7D">
        <w:rPr>
          <w:color w:val="000000" w:themeColor="text1"/>
        </w:rPr>
        <w:t xml:space="preserve">embraced </w:t>
      </w:r>
      <w:r w:rsidRPr="00590E7D">
        <w:rPr>
          <w:color w:val="000000" w:themeColor="text1"/>
        </w:rPr>
        <w:t xml:space="preserve">if </w:t>
      </w:r>
      <w:r w:rsidR="00CF4ABD" w:rsidRPr="00590E7D">
        <w:rPr>
          <w:color w:val="000000" w:themeColor="text1"/>
        </w:rPr>
        <w:t xml:space="preserve">such </w:t>
      </w:r>
      <w:r w:rsidRPr="00590E7D">
        <w:rPr>
          <w:color w:val="000000" w:themeColor="text1"/>
        </w:rPr>
        <w:t xml:space="preserve">misconceptions </w:t>
      </w:r>
      <w:r w:rsidR="0034382D" w:rsidRPr="00590E7D">
        <w:rPr>
          <w:color w:val="000000" w:themeColor="text1"/>
        </w:rPr>
        <w:t>are not countered</w:t>
      </w:r>
      <w:r w:rsidRPr="00590E7D">
        <w:rPr>
          <w:color w:val="000000" w:themeColor="text1"/>
        </w:rPr>
        <w:t xml:space="preserve">. </w:t>
      </w:r>
      <w:r w:rsidR="0034382D" w:rsidRPr="00590E7D">
        <w:rPr>
          <w:color w:val="000000" w:themeColor="text1"/>
        </w:rPr>
        <w:t xml:space="preserve">Here we provide </w:t>
      </w:r>
      <w:r w:rsidR="00CF4ABD" w:rsidRPr="00590E7D">
        <w:rPr>
          <w:color w:val="000000" w:themeColor="text1"/>
        </w:rPr>
        <w:t>four</w:t>
      </w:r>
      <w:r w:rsidR="0034382D" w:rsidRPr="00590E7D">
        <w:rPr>
          <w:color w:val="000000" w:themeColor="text1"/>
        </w:rPr>
        <w:t xml:space="preserve"> arguments for accessible, engaging and convincing education to </w:t>
      </w:r>
      <w:r w:rsidR="001B7FD6" w:rsidRPr="00590E7D">
        <w:rPr>
          <w:color w:val="000000" w:themeColor="text1"/>
        </w:rPr>
        <w:t xml:space="preserve">the public and health professionals. </w:t>
      </w:r>
    </w:p>
    <w:p w14:paraId="4D4D361B" w14:textId="77777777" w:rsidR="00B558F2" w:rsidRPr="00590E7D" w:rsidRDefault="00B558F2" w:rsidP="00027544">
      <w:pPr>
        <w:tabs>
          <w:tab w:val="center" w:pos="4513"/>
        </w:tabs>
        <w:jc w:val="both"/>
        <w:rPr>
          <w:color w:val="000000" w:themeColor="text1"/>
        </w:rPr>
      </w:pPr>
    </w:p>
    <w:p w14:paraId="71C9862F" w14:textId="77777777" w:rsidR="00B558F2" w:rsidRPr="00590E7D" w:rsidRDefault="00B558F2" w:rsidP="00027544">
      <w:pPr>
        <w:tabs>
          <w:tab w:val="center" w:pos="4513"/>
        </w:tabs>
        <w:jc w:val="both"/>
        <w:rPr>
          <w:color w:val="000000" w:themeColor="text1"/>
          <w:lang w:val="en-US"/>
        </w:rPr>
      </w:pPr>
    </w:p>
    <w:p w14:paraId="5B2DBCCC" w14:textId="7F136E61" w:rsidR="00B558F2" w:rsidRPr="00590E7D" w:rsidRDefault="00D8792C" w:rsidP="00027544">
      <w:pPr>
        <w:pStyle w:val="ListParagraph"/>
        <w:numPr>
          <w:ilvl w:val="0"/>
          <w:numId w:val="9"/>
        </w:numPr>
        <w:tabs>
          <w:tab w:val="center" w:pos="4513"/>
        </w:tabs>
        <w:jc w:val="both"/>
        <w:rPr>
          <w:b/>
          <w:color w:val="000000" w:themeColor="text1"/>
        </w:rPr>
      </w:pPr>
      <w:r w:rsidRPr="00590E7D">
        <w:rPr>
          <w:b/>
          <w:color w:val="000000" w:themeColor="text1"/>
        </w:rPr>
        <w:t xml:space="preserve">Mass media campaigns </w:t>
      </w:r>
      <w:r w:rsidR="00CF4ABD" w:rsidRPr="00590E7D">
        <w:rPr>
          <w:b/>
          <w:color w:val="000000" w:themeColor="text1"/>
        </w:rPr>
        <w:t xml:space="preserve">can </w:t>
      </w:r>
      <w:r w:rsidR="001B7FD6" w:rsidRPr="00590E7D">
        <w:rPr>
          <w:b/>
          <w:color w:val="000000" w:themeColor="text1"/>
        </w:rPr>
        <w:t>work</w:t>
      </w:r>
    </w:p>
    <w:p w14:paraId="04B0C48A" w14:textId="77777777" w:rsidR="002B0F38" w:rsidRPr="00590E7D" w:rsidRDefault="002B0F38" w:rsidP="00027544">
      <w:pPr>
        <w:pStyle w:val="ListParagraph"/>
        <w:tabs>
          <w:tab w:val="center" w:pos="4513"/>
        </w:tabs>
        <w:ind w:left="1080"/>
        <w:jc w:val="both"/>
        <w:rPr>
          <w:b/>
          <w:color w:val="000000" w:themeColor="text1"/>
        </w:rPr>
      </w:pPr>
    </w:p>
    <w:p w14:paraId="0C70A13A" w14:textId="622380FD" w:rsidR="00B558F2" w:rsidRPr="00590E7D" w:rsidRDefault="00D8792C" w:rsidP="00027544">
      <w:pPr>
        <w:jc w:val="both"/>
        <w:rPr>
          <w:color w:val="000000" w:themeColor="text1"/>
          <w:lang w:eastAsia="en-AU"/>
        </w:rPr>
      </w:pPr>
      <w:r w:rsidRPr="00590E7D">
        <w:rPr>
          <w:color w:val="000000" w:themeColor="text1"/>
          <w:lang w:eastAsia="en-AU"/>
        </w:rPr>
        <w:t xml:space="preserve">The “Back </w:t>
      </w:r>
      <w:r w:rsidR="007D77C0" w:rsidRPr="00590E7D">
        <w:rPr>
          <w:color w:val="000000" w:themeColor="text1"/>
          <w:lang w:eastAsia="en-AU"/>
        </w:rPr>
        <w:t>P</w:t>
      </w:r>
      <w:r w:rsidRPr="00590E7D">
        <w:rPr>
          <w:color w:val="000000" w:themeColor="text1"/>
          <w:lang w:eastAsia="en-AU"/>
        </w:rPr>
        <w:t>ain: Don’t Take it Lying Down” media campaign in Victoria, Australia</w:t>
      </w:r>
      <w:r w:rsidR="00BD53ED" w:rsidRPr="00590E7D">
        <w:rPr>
          <w:color w:val="000000" w:themeColor="text1"/>
          <w:lang w:eastAsia="en-AU"/>
        </w:rPr>
        <w:t>, aired in the late 1990s and</w:t>
      </w:r>
      <w:r w:rsidRPr="00590E7D">
        <w:rPr>
          <w:color w:val="000000" w:themeColor="text1"/>
          <w:lang w:eastAsia="en-AU"/>
        </w:rPr>
        <w:t xml:space="preserve"> aimed to shift public attitudes about what to do when you experience back pain.</w:t>
      </w:r>
      <w:r w:rsidR="00FC6C07" w:rsidRPr="00590E7D">
        <w:rPr>
          <w:noProof/>
          <w:color w:val="000000" w:themeColor="text1"/>
          <w:vertAlign w:val="superscript"/>
          <w:lang w:eastAsia="en-AU"/>
        </w:rPr>
        <w:t>2</w:t>
      </w:r>
      <w:r w:rsidRPr="00590E7D">
        <w:rPr>
          <w:color w:val="000000" w:themeColor="text1"/>
          <w:lang w:eastAsia="en-AU"/>
        </w:rPr>
        <w:t xml:space="preserve"> Television advertisements aired for the first 12 months and again for the final three months of the 3-year period. There were </w:t>
      </w:r>
      <w:r w:rsidR="004F6C62" w:rsidRPr="00590E7D">
        <w:rPr>
          <w:color w:val="000000" w:themeColor="text1"/>
          <w:lang w:eastAsia="en-AU"/>
        </w:rPr>
        <w:t xml:space="preserve">substantial </w:t>
      </w:r>
      <w:r w:rsidRPr="00590E7D">
        <w:rPr>
          <w:color w:val="000000" w:themeColor="text1"/>
          <w:lang w:eastAsia="en-AU"/>
        </w:rPr>
        <w:t xml:space="preserve">improvements in </w:t>
      </w:r>
      <w:r w:rsidR="003272C1" w:rsidRPr="00590E7D">
        <w:rPr>
          <w:color w:val="000000" w:themeColor="text1"/>
          <w:lang w:eastAsia="en-AU"/>
        </w:rPr>
        <w:t>workers’ compensation costs (</w:t>
      </w:r>
      <w:r w:rsidR="003272C1" w:rsidRPr="00590E7D">
        <w:rPr>
          <w:color w:val="000000" w:themeColor="text1"/>
          <w:shd w:val="clear" w:color="auto" w:fill="FFFFFF"/>
          <w:lang w:val="en-US" w:eastAsia="en-US"/>
        </w:rPr>
        <w:t xml:space="preserve">15% reduction in the number of claims), as well as </w:t>
      </w:r>
      <w:r w:rsidRPr="00590E7D">
        <w:rPr>
          <w:color w:val="000000" w:themeColor="text1"/>
          <w:lang w:eastAsia="en-AU"/>
        </w:rPr>
        <w:t>back pain beliefs, disability</w:t>
      </w:r>
      <w:r w:rsidR="003272C1" w:rsidRPr="00590E7D">
        <w:rPr>
          <w:color w:val="000000" w:themeColor="text1"/>
          <w:lang w:eastAsia="en-AU"/>
        </w:rPr>
        <w:t>, and</w:t>
      </w:r>
      <w:r w:rsidRPr="00590E7D">
        <w:rPr>
          <w:color w:val="000000" w:themeColor="text1"/>
          <w:lang w:eastAsia="en-AU"/>
        </w:rPr>
        <w:t xml:space="preserve"> medical management by the end of the campaign. </w:t>
      </w:r>
      <w:r w:rsidR="00A35F0D" w:rsidRPr="00590E7D">
        <w:rPr>
          <w:color w:val="000000" w:themeColor="text1"/>
          <w:lang w:eastAsia="en-AU"/>
        </w:rPr>
        <w:t>Variants of this</w:t>
      </w:r>
      <w:r w:rsidRPr="00590E7D">
        <w:rPr>
          <w:color w:val="000000" w:themeColor="text1"/>
          <w:lang w:eastAsia="en-AU"/>
        </w:rPr>
        <w:t xml:space="preserve"> campaign ha</w:t>
      </w:r>
      <w:r w:rsidR="0088394D" w:rsidRPr="00590E7D">
        <w:rPr>
          <w:color w:val="000000" w:themeColor="text1"/>
          <w:lang w:eastAsia="en-AU"/>
        </w:rPr>
        <w:t>ve</w:t>
      </w:r>
      <w:r w:rsidRPr="00590E7D">
        <w:rPr>
          <w:color w:val="000000" w:themeColor="text1"/>
          <w:lang w:eastAsia="en-AU"/>
        </w:rPr>
        <w:t xml:space="preserve"> been repeated elsewhere, with observed improvements in pain beliefs.</w:t>
      </w:r>
      <w:r w:rsidRPr="00590E7D">
        <w:rPr>
          <w:noProof/>
          <w:color w:val="000000" w:themeColor="text1"/>
          <w:vertAlign w:val="superscript"/>
          <w:lang w:eastAsia="en-AU"/>
        </w:rPr>
        <w:t>3</w:t>
      </w:r>
      <w:r w:rsidRPr="00590E7D">
        <w:rPr>
          <w:color w:val="000000" w:themeColor="text1"/>
          <w:lang w:eastAsia="en-AU"/>
        </w:rPr>
        <w:t xml:space="preserve"> However</w:t>
      </w:r>
      <w:r w:rsidR="00590E7D">
        <w:rPr>
          <w:color w:val="000000" w:themeColor="text1"/>
          <w:lang w:eastAsia="en-AU"/>
        </w:rPr>
        <w:t>,</w:t>
      </w:r>
      <w:r w:rsidRPr="00590E7D">
        <w:rPr>
          <w:color w:val="000000" w:themeColor="text1"/>
          <w:lang w:eastAsia="en-AU"/>
        </w:rPr>
        <w:t xml:space="preserve"> the Australian campaign was the only one to have a significant </w:t>
      </w:r>
      <w:r w:rsidR="00CF4ABD" w:rsidRPr="00590E7D">
        <w:rPr>
          <w:color w:val="000000" w:themeColor="text1"/>
          <w:lang w:eastAsia="en-AU"/>
        </w:rPr>
        <w:t>impact on</w:t>
      </w:r>
      <w:r w:rsidRPr="00590E7D">
        <w:rPr>
          <w:color w:val="000000" w:themeColor="text1"/>
        </w:rPr>
        <w:t xml:space="preserve"> health care utili</w:t>
      </w:r>
      <w:r w:rsidR="008E4C0D" w:rsidRPr="00590E7D">
        <w:rPr>
          <w:color w:val="000000" w:themeColor="text1"/>
        </w:rPr>
        <w:t>s</w:t>
      </w:r>
      <w:r w:rsidRPr="00590E7D">
        <w:rPr>
          <w:color w:val="000000" w:themeColor="text1"/>
        </w:rPr>
        <w:t>ation and disability behaviours, such as work loss. K</w:t>
      </w:r>
      <w:r w:rsidRPr="00590E7D">
        <w:rPr>
          <w:color w:val="000000" w:themeColor="text1"/>
          <w:lang w:eastAsia="en-AU"/>
        </w:rPr>
        <w:t>ey contributors to its success</w:t>
      </w:r>
      <w:r w:rsidR="00E832B7" w:rsidRPr="00590E7D">
        <w:rPr>
          <w:color w:val="000000" w:themeColor="text1"/>
          <w:lang w:eastAsia="en-AU"/>
        </w:rPr>
        <w:t xml:space="preserve"> </w:t>
      </w:r>
      <w:r w:rsidR="00E832B7" w:rsidRPr="00590E7D">
        <w:rPr>
          <w:color w:val="000000" w:themeColor="text1"/>
        </w:rPr>
        <w:t>are thought to have been</w:t>
      </w:r>
      <w:r w:rsidR="00E832B7" w:rsidRPr="00590E7D">
        <w:rPr>
          <w:color w:val="000000" w:themeColor="text1"/>
          <w:lang w:eastAsia="en-AU"/>
        </w:rPr>
        <w:t xml:space="preserve"> </w:t>
      </w:r>
      <w:r w:rsidR="005E25A9" w:rsidRPr="00590E7D">
        <w:rPr>
          <w:color w:val="000000" w:themeColor="text1"/>
          <w:lang w:eastAsia="en-AU"/>
        </w:rPr>
        <w:t xml:space="preserve">significant </w:t>
      </w:r>
      <w:r w:rsidRPr="00590E7D">
        <w:rPr>
          <w:color w:val="000000" w:themeColor="text1"/>
          <w:lang w:eastAsia="en-AU"/>
        </w:rPr>
        <w:t>funding, use of multiple media sources (TV, radio advertising, billboards), and clear advice on staying at work.</w:t>
      </w:r>
    </w:p>
    <w:p w14:paraId="57E5DF4C" w14:textId="77777777" w:rsidR="000D1AF5" w:rsidRPr="00590E7D" w:rsidRDefault="000D1AF5" w:rsidP="00027544">
      <w:pPr>
        <w:jc w:val="both"/>
        <w:rPr>
          <w:color w:val="000000" w:themeColor="text1"/>
          <w:vertAlign w:val="superscript"/>
        </w:rPr>
      </w:pPr>
    </w:p>
    <w:p w14:paraId="5DFB5791" w14:textId="7DE2DDDA" w:rsidR="00EF3968" w:rsidRPr="00590E7D" w:rsidRDefault="00D8792C" w:rsidP="00027544">
      <w:pPr>
        <w:pStyle w:val="ListParagraph"/>
        <w:numPr>
          <w:ilvl w:val="0"/>
          <w:numId w:val="9"/>
        </w:numPr>
        <w:jc w:val="both"/>
        <w:rPr>
          <w:color w:val="000000" w:themeColor="text1"/>
        </w:rPr>
      </w:pPr>
      <w:r w:rsidRPr="00590E7D">
        <w:rPr>
          <w:rFonts w:eastAsia="Times New Roman"/>
          <w:b/>
          <w:color w:val="000000" w:themeColor="text1"/>
          <w:lang w:eastAsia="en-IE"/>
        </w:rPr>
        <w:t xml:space="preserve">We need to address </w:t>
      </w:r>
      <w:r w:rsidR="003272C1" w:rsidRPr="00590E7D">
        <w:rPr>
          <w:rFonts w:eastAsia="Times New Roman"/>
          <w:b/>
          <w:color w:val="000000" w:themeColor="text1"/>
          <w:lang w:eastAsia="en-IE"/>
        </w:rPr>
        <w:t>ongoing</w:t>
      </w:r>
      <w:r w:rsidRPr="00590E7D">
        <w:rPr>
          <w:rFonts w:eastAsia="Times New Roman"/>
          <w:b/>
          <w:color w:val="000000" w:themeColor="text1"/>
          <w:lang w:eastAsia="en-IE"/>
        </w:rPr>
        <w:t xml:space="preserve"> challenges and seize new opportunities </w:t>
      </w:r>
    </w:p>
    <w:p w14:paraId="5BB6B7F0" w14:textId="77777777" w:rsidR="00027544" w:rsidRPr="00590E7D" w:rsidRDefault="00D8792C" w:rsidP="00027544">
      <w:pPr>
        <w:pStyle w:val="Commen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C58FE2" w14:textId="0365F12E" w:rsidR="006F068E" w:rsidRPr="00590E7D" w:rsidRDefault="00D8792C" w:rsidP="00027544">
      <w:pPr>
        <w:pStyle w:val="Commen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Two decades on from the Victorian media campaign,</w:t>
      </w:r>
      <w:r w:rsidR="00875FE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additional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insights have emerged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31FA7ED" w14:textId="019A196B" w:rsidR="00875FE4" w:rsidRPr="00590E7D" w:rsidRDefault="00D8792C" w:rsidP="00027544">
      <w:pPr>
        <w:pStyle w:val="CommentTex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 </w:t>
      </w:r>
      <w:r w:rsidR="00277218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tests and </w:t>
      </w:r>
      <w:r w:rsidR="005E25A9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treatments</w:t>
      </w:r>
      <w:r w:rsidR="00277218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back pain</w:t>
      </w:r>
      <w:r w:rsidR="005E25A9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proliferated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, with increases in the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of medicines, im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ging, and surgery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53E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ampaigns </w:t>
      </w:r>
      <w:r w:rsidR="00BD53E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that aim to reduce</w:t>
      </w:r>
      <w:r w:rsidR="00A87DBB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low-value investigations and treatments for back pain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as Choosing Wisely, </w:t>
      </w:r>
      <w:r w:rsidR="00BD53E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have so far failed</w:t>
      </w:r>
      <w:r w:rsidR="00E832B7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Perhaps we could </w:t>
      </w:r>
      <w:r w:rsidR="00277218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the successful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Victorian campaign </w:t>
      </w:r>
      <w:r w:rsidR="00277218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to explicitly target low-value care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394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steer people towards ‘higher-value’ alternatives. </w:t>
      </w:r>
    </w:p>
    <w:p w14:paraId="6BFCBC6B" w14:textId="59B4F5AF" w:rsidR="00B558F2" w:rsidRPr="00590E7D" w:rsidRDefault="00D8792C" w:rsidP="00027544">
      <w:pPr>
        <w:pStyle w:val="CommentTex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an expanded understanding of the myriad of factors that can be involved in the 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pain experience</w:t>
      </w:r>
      <w:r w:rsidR="006C5CC8">
        <w:rPr>
          <w:rFonts w:ascii="Times New Roman" w:hAnsi="Times New Roman" w:cs="Times New Roman"/>
          <w:color w:val="000000" w:themeColor="text1"/>
          <w:sz w:val="24"/>
          <w:szCs w:val="24"/>
        </w:rPr>
        <w:t>. Accurate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atient education </w:t>
      </w:r>
      <w:r w:rsidR="006C5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provide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long-term reassurance to individuals with back pain, and reduce primary care visits.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4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pdating the Victorian campaign to 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pre-emptive</w:t>
      </w:r>
      <w:r w:rsidR="0088394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37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societal level, 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on the multiple influences</w:t>
      </w:r>
      <w:r w:rsidR="00590E7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beliefs, fear, stress, mood</w:t>
      </w:r>
      <w:r w:rsidR="00590E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CC8">
        <w:rPr>
          <w:rFonts w:ascii="Times New Roman" w:hAnsi="Times New Roman" w:cs="Times New Roman"/>
          <w:color w:val="000000" w:themeColor="text1"/>
          <w:sz w:val="24"/>
          <w:szCs w:val="24"/>
        </w:rPr>
        <w:t>that can influence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 pain</w:t>
      </w:r>
      <w:r w:rsidR="004B737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help promote recovery from </w:t>
      </w:r>
      <w:r w:rsidR="004D32F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back pain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episodes.</w:t>
      </w:r>
      <w:r w:rsidR="00A35F0D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D54A48" w14:textId="77777777" w:rsidR="00B558F2" w:rsidRPr="006C5CC8" w:rsidRDefault="00B558F2" w:rsidP="00027544">
      <w:pPr>
        <w:tabs>
          <w:tab w:val="center" w:pos="4513"/>
        </w:tabs>
        <w:jc w:val="both"/>
        <w:rPr>
          <w:color w:val="000000" w:themeColor="text1"/>
          <w:lang w:val="en-AU"/>
        </w:rPr>
      </w:pPr>
    </w:p>
    <w:p w14:paraId="079D3B93" w14:textId="638C9604" w:rsidR="00277218" w:rsidRPr="00590E7D" w:rsidRDefault="00D8792C" w:rsidP="00027544">
      <w:pPr>
        <w:pStyle w:val="ListParagraph"/>
        <w:numPr>
          <w:ilvl w:val="0"/>
          <w:numId w:val="9"/>
        </w:numPr>
        <w:tabs>
          <w:tab w:val="center" w:pos="4513"/>
        </w:tabs>
        <w:jc w:val="both"/>
        <w:rPr>
          <w:b/>
          <w:color w:val="000000" w:themeColor="text1"/>
        </w:rPr>
      </w:pPr>
      <w:r w:rsidRPr="00590E7D">
        <w:rPr>
          <w:b/>
          <w:color w:val="000000" w:themeColor="text1"/>
        </w:rPr>
        <w:t>We need to i</w:t>
      </w:r>
      <w:r w:rsidR="00B558F2" w:rsidRPr="00590E7D">
        <w:rPr>
          <w:b/>
          <w:color w:val="000000" w:themeColor="text1"/>
        </w:rPr>
        <w:t xml:space="preserve">ntegrate new media </w:t>
      </w:r>
    </w:p>
    <w:p w14:paraId="3FE031E3" w14:textId="23640B38" w:rsidR="006420D1" w:rsidRPr="00590E7D" w:rsidRDefault="006420D1" w:rsidP="00027544">
      <w:pPr>
        <w:pStyle w:val="ListParagraph"/>
        <w:tabs>
          <w:tab w:val="center" w:pos="4513"/>
        </w:tabs>
        <w:ind w:left="1080"/>
        <w:jc w:val="both"/>
        <w:rPr>
          <w:color w:val="000000" w:themeColor="text1"/>
          <w:lang w:eastAsia="en-AU"/>
        </w:rPr>
      </w:pPr>
    </w:p>
    <w:p w14:paraId="19C4A6BD" w14:textId="1DF1247A" w:rsidR="0088394D" w:rsidRPr="00590E7D" w:rsidRDefault="006C5CC8" w:rsidP="0088394D">
      <w:pPr>
        <w:pStyle w:val="CommentText"/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m</w:t>
      </w:r>
      <w:proofErr w:type="spellStart"/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edia</w:t>
      </w:r>
      <w:proofErr w:type="spellEnd"/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central role in our lives. However,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changing media environment in recent decades may stimulate more </w:t>
      </w:r>
      <w:r w:rsidR="002B1DB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‘fake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news</w:t>
      </w:r>
      <w:r w:rsidR="002B1DB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‘clickbait’ than reliable scientific reporting.  Any contemporary media strategy should include a social media presence and strategy - “get visible or vanish”.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5 </w:t>
      </w:r>
      <w:r w:rsidR="00590E7D" w:rsidRPr="00590E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To enhance impact, we propose this strategy; (1) prioritise evidence-based communication on social media platforms; (2) develop apps based on theory and rigorous pre-testing, unlike several existing apps which merely distort evidence and spread myths about back pain; (3) target online messaging (e.g.</w:t>
      </w:r>
      <w:r w:rsidR="002B1DB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Google Ads) such that when someone searches ‘back pain’ they would receive appropriate information instead of advertisements about non-evidence-based treatments -  as tested with cancer risk and tanning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bed use; and (4) promote citizen science endeavours which establish online communities in specific areas</w:t>
      </w:r>
      <w:r w:rsidR="00D8792C" w:rsidRPr="00590E7D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to engage the public in research. </w:t>
      </w:r>
      <w:r w:rsidR="00590E7D" w:rsidRPr="00590E7D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Such approaches will requir</w:t>
      </w:r>
      <w:r w:rsidR="00D87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knowledge translation funding, </w:t>
      </w:r>
      <w:r w:rsidR="00D8792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novel thinking to create multimedia assets that will capture attention (e.g., infographics, videos, podcast, etc.) and cater to different learning preferences.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</w:p>
    <w:p w14:paraId="6466B768" w14:textId="77777777" w:rsidR="00B558F2" w:rsidRPr="00590E7D" w:rsidRDefault="00B558F2" w:rsidP="00027544">
      <w:pPr>
        <w:jc w:val="both"/>
        <w:rPr>
          <w:color w:val="000000" w:themeColor="text1"/>
        </w:rPr>
      </w:pPr>
    </w:p>
    <w:p w14:paraId="5397084A" w14:textId="77777777" w:rsidR="00B558F2" w:rsidRPr="00590E7D" w:rsidRDefault="00D8792C" w:rsidP="00027544">
      <w:pPr>
        <w:pStyle w:val="ListParagraph"/>
        <w:numPr>
          <w:ilvl w:val="0"/>
          <w:numId w:val="9"/>
        </w:numPr>
        <w:tabs>
          <w:tab w:val="center" w:pos="4513"/>
        </w:tabs>
        <w:jc w:val="both"/>
        <w:rPr>
          <w:b/>
          <w:color w:val="000000" w:themeColor="text1"/>
          <w:lang w:eastAsia="en-AU"/>
        </w:rPr>
      </w:pPr>
      <w:r w:rsidRPr="00590E7D">
        <w:rPr>
          <w:b/>
          <w:color w:val="000000" w:themeColor="text1"/>
          <w:lang w:eastAsia="en-AU"/>
        </w:rPr>
        <w:t>We need to learn from other fields</w:t>
      </w:r>
    </w:p>
    <w:p w14:paraId="0AE9418A" w14:textId="39A289D2" w:rsidR="00875FE4" w:rsidRPr="00590E7D" w:rsidRDefault="00875FE4" w:rsidP="00027544">
      <w:pPr>
        <w:jc w:val="both"/>
        <w:rPr>
          <w:color w:val="000000" w:themeColor="text1"/>
          <w:lang w:val="en-AU" w:eastAsia="en-AU"/>
        </w:rPr>
      </w:pPr>
    </w:p>
    <w:p w14:paraId="69418691" w14:textId="47111305" w:rsidR="006F068E" w:rsidRPr="00590E7D" w:rsidRDefault="00D8792C" w:rsidP="00027544">
      <w:pPr>
        <w:jc w:val="both"/>
        <w:rPr>
          <w:color w:val="000000" w:themeColor="text1"/>
          <w:lang w:eastAsia="en-AU"/>
        </w:rPr>
      </w:pPr>
      <w:r w:rsidRPr="00590E7D">
        <w:rPr>
          <w:color w:val="000000" w:themeColor="text1"/>
          <w:lang w:eastAsia="en-AU"/>
        </w:rPr>
        <w:t>Public health campaigns have contributed to improved behaviours in other fields, for example reducing smoking</w:t>
      </w:r>
      <w:r w:rsidR="00F66FAC" w:rsidRPr="00590E7D">
        <w:rPr>
          <w:color w:val="000000" w:themeColor="text1"/>
          <w:lang w:eastAsia="en-AU"/>
        </w:rPr>
        <w:t>, use of sunscreen</w:t>
      </w:r>
      <w:r w:rsidRPr="00590E7D">
        <w:rPr>
          <w:color w:val="000000" w:themeColor="text1"/>
          <w:lang w:eastAsia="en-AU"/>
        </w:rPr>
        <w:t xml:space="preserve">, </w:t>
      </w:r>
      <w:r w:rsidR="00F66FAC" w:rsidRPr="00590E7D">
        <w:rPr>
          <w:color w:val="000000" w:themeColor="text1"/>
          <w:lang w:eastAsia="en-AU"/>
        </w:rPr>
        <w:t xml:space="preserve">and </w:t>
      </w:r>
      <w:r w:rsidRPr="00590E7D">
        <w:rPr>
          <w:color w:val="000000" w:themeColor="text1"/>
          <w:lang w:eastAsia="en-AU"/>
        </w:rPr>
        <w:t>road safet</w:t>
      </w:r>
      <w:r w:rsidR="00F66FAC" w:rsidRPr="00590E7D">
        <w:rPr>
          <w:color w:val="000000" w:themeColor="text1"/>
          <w:lang w:eastAsia="en-AU"/>
        </w:rPr>
        <w:t>y</w:t>
      </w:r>
      <w:r w:rsidR="00AE08F2" w:rsidRPr="00590E7D">
        <w:rPr>
          <w:color w:val="000000" w:themeColor="text1"/>
          <w:lang w:eastAsia="en-AU"/>
        </w:rPr>
        <w:t>.</w:t>
      </w:r>
      <w:r w:rsidR="00F10726" w:rsidRPr="00590E7D">
        <w:rPr>
          <w:color w:val="000000" w:themeColor="text1"/>
          <w:vertAlign w:val="superscript"/>
          <w:lang w:eastAsia="en-AU"/>
        </w:rPr>
        <w:t>6</w:t>
      </w:r>
      <w:r w:rsidR="00AE08F2" w:rsidRPr="00590E7D">
        <w:rPr>
          <w:color w:val="000000" w:themeColor="text1"/>
          <w:lang w:eastAsia="en-AU"/>
        </w:rPr>
        <w:t xml:space="preserve"> </w:t>
      </w:r>
      <w:r w:rsidRPr="00590E7D">
        <w:rPr>
          <w:color w:val="000000" w:themeColor="text1"/>
        </w:rPr>
        <w:t xml:space="preserve">Close examination of campaigns outside our field will help our </w:t>
      </w:r>
      <w:r w:rsidR="004D32F4" w:rsidRPr="00590E7D">
        <w:rPr>
          <w:color w:val="000000" w:themeColor="text1"/>
        </w:rPr>
        <w:t xml:space="preserve">back pain </w:t>
      </w:r>
      <w:r w:rsidRPr="00590E7D">
        <w:rPr>
          <w:color w:val="000000" w:themeColor="text1"/>
        </w:rPr>
        <w:t xml:space="preserve">advice "stick," and not backfire. </w:t>
      </w:r>
      <w:r w:rsidR="00AE08F2" w:rsidRPr="00590E7D">
        <w:rPr>
          <w:color w:val="000000" w:themeColor="text1"/>
        </w:rPr>
        <w:t>Targeting specific population segments,</w:t>
      </w:r>
      <w:r w:rsidR="003272C1" w:rsidRPr="00590E7D">
        <w:rPr>
          <w:color w:val="000000" w:themeColor="text1"/>
        </w:rPr>
        <w:t xml:space="preserve"> and</w:t>
      </w:r>
      <w:r w:rsidR="00AE08F2" w:rsidRPr="00590E7D">
        <w:rPr>
          <w:color w:val="000000" w:themeColor="text1"/>
        </w:rPr>
        <w:t xml:space="preserve"> using slogans are examples </w:t>
      </w:r>
      <w:r w:rsidR="003272C1" w:rsidRPr="00590E7D">
        <w:rPr>
          <w:color w:val="000000" w:themeColor="text1"/>
        </w:rPr>
        <w:t xml:space="preserve">of </w:t>
      </w:r>
      <w:r w:rsidR="00F66FAC" w:rsidRPr="00590E7D">
        <w:rPr>
          <w:color w:val="000000" w:themeColor="text1"/>
        </w:rPr>
        <w:t>‘</w:t>
      </w:r>
      <w:r w:rsidR="00AE08F2" w:rsidRPr="00590E7D">
        <w:rPr>
          <w:color w:val="000000" w:themeColor="text1"/>
        </w:rPr>
        <w:t>stick</w:t>
      </w:r>
      <w:r w:rsidR="00F66FAC" w:rsidRPr="00590E7D">
        <w:rPr>
          <w:color w:val="000000" w:themeColor="text1"/>
        </w:rPr>
        <w:t>y’ messages</w:t>
      </w:r>
      <w:r w:rsidR="00AE08F2" w:rsidRPr="00590E7D">
        <w:rPr>
          <w:color w:val="000000" w:themeColor="text1"/>
        </w:rPr>
        <w:t xml:space="preserve">. </w:t>
      </w:r>
      <w:r w:rsidR="003272C1" w:rsidRPr="00590E7D">
        <w:rPr>
          <w:color w:val="000000" w:themeColor="text1"/>
        </w:rPr>
        <w:t>For</w:t>
      </w:r>
      <w:r w:rsidRPr="00590E7D">
        <w:rPr>
          <w:color w:val="000000" w:themeColor="text1"/>
        </w:rPr>
        <w:t xml:space="preserve"> example</w:t>
      </w:r>
      <w:r w:rsidR="003272C1" w:rsidRPr="00590E7D">
        <w:rPr>
          <w:color w:val="000000" w:themeColor="text1"/>
        </w:rPr>
        <w:t xml:space="preserve">, </w:t>
      </w:r>
      <w:r w:rsidRPr="00590E7D">
        <w:rPr>
          <w:color w:val="000000" w:themeColor="text1"/>
        </w:rPr>
        <w:t xml:space="preserve">the </w:t>
      </w:r>
      <w:r w:rsidR="004B737F" w:rsidRPr="00590E7D">
        <w:rPr>
          <w:color w:val="000000" w:themeColor="text1"/>
        </w:rPr>
        <w:t xml:space="preserve">successful </w:t>
      </w:r>
      <w:r w:rsidRPr="00590E7D">
        <w:rPr>
          <w:color w:val="000000" w:themeColor="text1"/>
        </w:rPr>
        <w:t>VERB campaign</w:t>
      </w:r>
      <w:r w:rsidR="00F10726" w:rsidRPr="00590E7D">
        <w:rPr>
          <w:color w:val="000000" w:themeColor="text1"/>
          <w:vertAlign w:val="superscript"/>
        </w:rPr>
        <w:t>7</w:t>
      </w:r>
      <w:r w:rsidRPr="00590E7D">
        <w:rPr>
          <w:color w:val="000000" w:themeColor="text1"/>
        </w:rPr>
        <w:t xml:space="preserve"> was a multiethnic media campaign </w:t>
      </w:r>
      <w:r w:rsidR="003272C1" w:rsidRPr="00590E7D">
        <w:rPr>
          <w:color w:val="000000" w:themeColor="text1"/>
        </w:rPr>
        <w:t xml:space="preserve">to increase physical activity among US children </w:t>
      </w:r>
      <w:r w:rsidRPr="00590E7D">
        <w:rPr>
          <w:color w:val="000000" w:themeColor="text1"/>
        </w:rPr>
        <w:t>which applied marketing techniques</w:t>
      </w:r>
      <w:r w:rsidR="00F66FAC" w:rsidRPr="00590E7D">
        <w:rPr>
          <w:color w:val="000000" w:themeColor="text1"/>
        </w:rPr>
        <w:t xml:space="preserve"> at multiple levels (e.g., teens, parents, teachers, etc.)</w:t>
      </w:r>
      <w:r w:rsidR="003272C1" w:rsidRPr="00590E7D">
        <w:rPr>
          <w:color w:val="000000" w:themeColor="text1"/>
        </w:rPr>
        <w:t>.</w:t>
      </w:r>
      <w:r w:rsidR="00AE08F2" w:rsidRPr="00590E7D">
        <w:rPr>
          <w:color w:val="000000" w:themeColor="text1"/>
        </w:rPr>
        <w:t xml:space="preserve"> </w:t>
      </w:r>
      <w:r w:rsidR="00AE08F2" w:rsidRPr="00590E7D">
        <w:rPr>
          <w:color w:val="000000" w:themeColor="text1"/>
          <w:lang w:eastAsia="en-AU"/>
        </w:rPr>
        <w:t>The motto was VERB: “It’s what you do”</w:t>
      </w:r>
      <w:r w:rsidR="00AE08F2" w:rsidRPr="00590E7D">
        <w:rPr>
          <w:color w:val="000000" w:themeColor="text1"/>
          <w:lang w:val="en-AU" w:eastAsia="en-AU"/>
        </w:rPr>
        <w:t xml:space="preserve"> to encourage lifestyle changes</w:t>
      </w:r>
      <w:r w:rsidR="003272C1" w:rsidRPr="00590E7D">
        <w:rPr>
          <w:color w:val="000000" w:themeColor="text1"/>
          <w:lang w:val="en-AU" w:eastAsia="en-AU"/>
        </w:rPr>
        <w:t>,</w:t>
      </w:r>
      <w:r w:rsidR="00AE08F2" w:rsidRPr="00590E7D">
        <w:rPr>
          <w:color w:val="000000" w:themeColor="text1"/>
          <w:lang w:val="en-AU" w:eastAsia="en-AU"/>
        </w:rPr>
        <w:t xml:space="preserve"> such as pla</w:t>
      </w:r>
      <w:r w:rsidR="00590E7D">
        <w:rPr>
          <w:color w:val="000000" w:themeColor="text1"/>
          <w:lang w:val="en-AU" w:eastAsia="en-AU"/>
        </w:rPr>
        <w:t>ying more and "trying new verbs.</w:t>
      </w:r>
      <w:r w:rsidR="00AE08F2" w:rsidRPr="00590E7D">
        <w:rPr>
          <w:color w:val="000000" w:themeColor="text1"/>
          <w:lang w:val="en-AU" w:eastAsia="en-AU"/>
        </w:rPr>
        <w:t>"</w:t>
      </w:r>
    </w:p>
    <w:p w14:paraId="5E48FA4B" w14:textId="5EDD67A7" w:rsidR="00AE08F2" w:rsidRPr="00590E7D" w:rsidRDefault="00AE08F2" w:rsidP="00027544">
      <w:pPr>
        <w:jc w:val="both"/>
        <w:rPr>
          <w:b/>
          <w:color w:val="000000" w:themeColor="text1"/>
          <w:lang w:eastAsia="en-AU"/>
        </w:rPr>
      </w:pPr>
    </w:p>
    <w:p w14:paraId="65CC2045" w14:textId="462F663D" w:rsidR="00AE08F2" w:rsidRPr="00590E7D" w:rsidRDefault="00D8792C" w:rsidP="00027544">
      <w:pPr>
        <w:pStyle w:val="Commen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concepts of ‘demarketing’ and ‘countermarketing’ – encouraging the avoidance of 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unhelpful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behaviours and 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romotion of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desired behaviour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6C5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gaining popularity in other 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r w:rsidR="004B737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4B737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For example, discouraging the consumption of sugary drinks and junk food and promoting healthy food.</w:t>
      </w:r>
      <w:r w:rsidR="00590E7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FA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back pain, this could involve discouraging inappropriate imaging and non-evidence based products and encouraging desired alter</w:t>
      </w:r>
      <w:r w:rsidR="003272C1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ative</w:t>
      </w:r>
      <w:r w:rsidR="00F66FAC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27544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(e.g., watchful waiting, active living).</w:t>
      </w:r>
    </w:p>
    <w:p w14:paraId="6EDE6B6D" w14:textId="77777777" w:rsidR="00AE08F2" w:rsidRPr="00590E7D" w:rsidRDefault="00AE08F2" w:rsidP="00027544">
      <w:pPr>
        <w:jc w:val="both"/>
        <w:rPr>
          <w:color w:val="000000" w:themeColor="text1"/>
          <w:lang w:val="en-AU" w:eastAsia="en-AU"/>
        </w:rPr>
      </w:pPr>
    </w:p>
    <w:p w14:paraId="779AA0CE" w14:textId="7046351B" w:rsidR="002B1DBF" w:rsidRDefault="00D8792C" w:rsidP="00027544">
      <w:pPr>
        <w:jc w:val="both"/>
        <w:rPr>
          <w:b/>
          <w:color w:val="000000" w:themeColor="text1"/>
          <w:lang w:val="en-AU" w:eastAsia="en-AU"/>
        </w:rPr>
      </w:pPr>
      <w:r>
        <w:rPr>
          <w:b/>
          <w:color w:val="000000" w:themeColor="text1"/>
          <w:lang w:val="en-AU" w:eastAsia="en-AU"/>
        </w:rPr>
        <w:t>Call to action</w:t>
      </w:r>
    </w:p>
    <w:p w14:paraId="50702F57" w14:textId="7AD4F10C" w:rsidR="00455CF9" w:rsidRDefault="00455CF9" w:rsidP="00027544">
      <w:pPr>
        <w:jc w:val="both"/>
        <w:rPr>
          <w:b/>
          <w:color w:val="000000" w:themeColor="text1"/>
          <w:lang w:val="en-AU" w:eastAsia="en-AU"/>
        </w:rPr>
      </w:pPr>
    </w:p>
    <w:p w14:paraId="11D45E9E" w14:textId="41865699" w:rsidR="006F068E" w:rsidRPr="00590E7D" w:rsidRDefault="006C5CC8" w:rsidP="00027544">
      <w:pPr>
        <w:jc w:val="both"/>
        <w:rPr>
          <w:color w:val="000000" w:themeColor="text1"/>
        </w:rPr>
      </w:pPr>
      <w:r>
        <w:rPr>
          <w:color w:val="000000" w:themeColor="text1"/>
        </w:rPr>
        <w:t>New opportunities and challenges mean we</w:t>
      </w:r>
      <w:r w:rsidR="00D8792C">
        <w:rPr>
          <w:color w:val="000000" w:themeColor="text1"/>
        </w:rPr>
        <w:t xml:space="preserve"> need to update the successful</w:t>
      </w:r>
      <w:r>
        <w:rPr>
          <w:color w:val="000000" w:themeColor="text1"/>
        </w:rPr>
        <w:t xml:space="preserve"> Victorian</w:t>
      </w:r>
      <w:r w:rsidR="00D8792C">
        <w:rPr>
          <w:color w:val="000000" w:themeColor="text1"/>
        </w:rPr>
        <w:t xml:space="preserve"> </w:t>
      </w:r>
      <w:r w:rsidR="00D8792C" w:rsidRPr="00590E7D">
        <w:rPr>
          <w:color w:val="000000" w:themeColor="text1"/>
          <w:lang w:eastAsia="en-AU"/>
        </w:rPr>
        <w:t>“Back Pain: Don’t Take it Lying Down”</w:t>
      </w:r>
      <w:r w:rsidR="00D8792C">
        <w:rPr>
          <w:color w:val="000000" w:themeColor="text1"/>
          <w:lang w:eastAsia="en-AU"/>
        </w:rPr>
        <w:t xml:space="preserve"> mass media campaign. L</w:t>
      </w:r>
      <w:r w:rsidR="00AE08F2" w:rsidRPr="00590E7D">
        <w:rPr>
          <w:color w:val="000000" w:themeColor="text1"/>
          <w:lang w:eastAsia="en-AU"/>
        </w:rPr>
        <w:t>ong duration, high intensity,</w:t>
      </w:r>
      <w:r w:rsidR="003272C1" w:rsidRPr="00590E7D">
        <w:rPr>
          <w:color w:val="000000" w:themeColor="text1"/>
          <w:lang w:eastAsia="en-AU"/>
        </w:rPr>
        <w:t xml:space="preserve"> campaigns which </w:t>
      </w:r>
      <w:r w:rsidR="00AE08F2" w:rsidRPr="00590E7D">
        <w:rPr>
          <w:color w:val="000000" w:themeColor="text1"/>
          <w:lang w:eastAsia="en-AU"/>
        </w:rPr>
        <w:t xml:space="preserve">use multiple media platforms </w:t>
      </w:r>
      <w:r>
        <w:rPr>
          <w:color w:val="000000" w:themeColor="text1"/>
          <w:lang w:eastAsia="en-AU"/>
        </w:rPr>
        <w:t xml:space="preserve">are </w:t>
      </w:r>
      <w:r w:rsidR="00AE08F2" w:rsidRPr="00590E7D">
        <w:rPr>
          <w:color w:val="000000" w:themeColor="text1"/>
          <w:lang w:eastAsia="en-AU"/>
        </w:rPr>
        <w:t>critical ingredients for a successful campaign.</w:t>
      </w:r>
      <w:r w:rsidR="00F10726" w:rsidRPr="00590E7D">
        <w:rPr>
          <w:color w:val="000000" w:themeColor="text1"/>
          <w:vertAlign w:val="superscript"/>
          <w:lang w:eastAsia="en-AU"/>
        </w:rPr>
        <w:t>6</w:t>
      </w:r>
      <w:r w:rsidR="00AE08F2" w:rsidRPr="00590E7D">
        <w:rPr>
          <w:b/>
          <w:color w:val="000000" w:themeColor="text1"/>
          <w:lang w:eastAsia="en-AU"/>
        </w:rPr>
        <w:t xml:space="preserve"> </w:t>
      </w:r>
      <w:r w:rsidR="003272C1" w:rsidRPr="006C5CC8">
        <w:rPr>
          <w:color w:val="000000" w:themeColor="text1"/>
          <w:lang w:eastAsia="en-AU"/>
        </w:rPr>
        <w:t>Adequate</w:t>
      </w:r>
      <w:r w:rsidR="003272C1" w:rsidRPr="00590E7D">
        <w:rPr>
          <w:color w:val="000000" w:themeColor="text1"/>
          <w:lang w:eastAsia="en-AU"/>
        </w:rPr>
        <w:t xml:space="preserve"> </w:t>
      </w:r>
      <w:r w:rsidR="00AE08F2" w:rsidRPr="00590E7D">
        <w:rPr>
          <w:color w:val="000000" w:themeColor="text1"/>
          <w:lang w:eastAsia="en-AU"/>
        </w:rPr>
        <w:t xml:space="preserve">funding, clarity of messaging, and the use of clever visual advertising </w:t>
      </w:r>
      <w:r w:rsidR="003272C1" w:rsidRPr="00590E7D">
        <w:rPr>
          <w:color w:val="000000" w:themeColor="text1"/>
          <w:lang w:eastAsia="en-AU"/>
        </w:rPr>
        <w:t xml:space="preserve">may </w:t>
      </w:r>
      <w:r w:rsidR="00AE08F2" w:rsidRPr="00590E7D">
        <w:rPr>
          <w:color w:val="000000" w:themeColor="text1"/>
          <w:lang w:eastAsia="en-AU"/>
        </w:rPr>
        <w:t>also contribute to campaign success.</w:t>
      </w:r>
      <w:r w:rsidR="004B737F" w:rsidRPr="00590E7D">
        <w:rPr>
          <w:color w:val="000000" w:themeColor="text1"/>
          <w:lang w:eastAsia="en-AU"/>
        </w:rPr>
        <w:t xml:space="preserve"> </w:t>
      </w:r>
      <w:r w:rsidR="00D8792C">
        <w:rPr>
          <w:color w:val="000000" w:themeColor="text1"/>
          <w:lang w:eastAsia="en-AU"/>
        </w:rPr>
        <w:t>An updated</w:t>
      </w:r>
      <w:r>
        <w:rPr>
          <w:color w:val="000000" w:themeColor="text1"/>
          <w:lang w:eastAsia="en-AU"/>
        </w:rPr>
        <w:t>,</w:t>
      </w:r>
      <w:r w:rsidR="00D8792C">
        <w:rPr>
          <w:color w:val="000000" w:themeColor="text1"/>
          <w:lang w:eastAsia="en-AU"/>
        </w:rPr>
        <w:t xml:space="preserve"> and contemporary campaign, could form </w:t>
      </w:r>
      <w:r w:rsidR="004B737F" w:rsidRPr="00590E7D">
        <w:rPr>
          <w:color w:val="000000" w:themeColor="text1"/>
          <w:lang w:eastAsia="en-AU"/>
        </w:rPr>
        <w:t xml:space="preserve">one </w:t>
      </w:r>
      <w:r w:rsidR="00D8792C">
        <w:rPr>
          <w:color w:val="000000" w:themeColor="text1"/>
          <w:lang w:eastAsia="en-AU"/>
        </w:rPr>
        <w:t xml:space="preserve">essential part </w:t>
      </w:r>
      <w:r w:rsidR="004B737F" w:rsidRPr="00590E7D">
        <w:rPr>
          <w:color w:val="000000" w:themeColor="text1"/>
          <w:lang w:eastAsia="en-AU"/>
        </w:rPr>
        <w:t xml:space="preserve">of a multi-pronged </w:t>
      </w:r>
      <w:r w:rsidR="003272C1" w:rsidRPr="00590E7D">
        <w:rPr>
          <w:color w:val="000000" w:themeColor="text1"/>
          <w:lang w:eastAsia="en-AU"/>
        </w:rPr>
        <w:t>approach</w:t>
      </w:r>
      <w:r w:rsidR="004B737F" w:rsidRPr="00590E7D">
        <w:rPr>
          <w:color w:val="000000" w:themeColor="text1"/>
          <w:lang w:eastAsia="en-AU"/>
        </w:rPr>
        <w:t xml:space="preserve"> to tackling the burden of back pain. </w:t>
      </w:r>
    </w:p>
    <w:p w14:paraId="1B3E8321" w14:textId="3B708566" w:rsidR="006F068E" w:rsidRPr="00590E7D" w:rsidRDefault="006F068E" w:rsidP="00027544">
      <w:pPr>
        <w:jc w:val="both"/>
        <w:rPr>
          <w:color w:val="000000" w:themeColor="text1"/>
          <w:shd w:val="clear" w:color="auto" w:fill="FFFFFF"/>
        </w:rPr>
      </w:pPr>
    </w:p>
    <w:p w14:paraId="62CA904B" w14:textId="77777777" w:rsidR="006F068E" w:rsidRPr="00590E7D" w:rsidRDefault="006F068E" w:rsidP="00027544">
      <w:pPr>
        <w:jc w:val="both"/>
        <w:rPr>
          <w:color w:val="000000" w:themeColor="text1"/>
          <w:lang w:eastAsia="en-AU"/>
        </w:rPr>
      </w:pPr>
    </w:p>
    <w:p w14:paraId="631CF9A0" w14:textId="77777777" w:rsidR="009E462F" w:rsidRPr="00590E7D" w:rsidRDefault="009E462F" w:rsidP="00027544">
      <w:pPr>
        <w:jc w:val="both"/>
        <w:rPr>
          <w:color w:val="000000" w:themeColor="text1"/>
        </w:rPr>
      </w:pPr>
    </w:p>
    <w:p w14:paraId="69A16D27" w14:textId="77777777" w:rsidR="00B558F2" w:rsidRPr="00590E7D" w:rsidRDefault="00B558F2" w:rsidP="00027544">
      <w:pPr>
        <w:jc w:val="both"/>
        <w:rPr>
          <w:color w:val="000000" w:themeColor="text1"/>
        </w:rPr>
      </w:pPr>
    </w:p>
    <w:p w14:paraId="70E55EEF" w14:textId="77777777" w:rsidR="00B558F2" w:rsidRPr="00590E7D" w:rsidRDefault="00D8792C" w:rsidP="00027544">
      <w:pPr>
        <w:jc w:val="both"/>
        <w:rPr>
          <w:color w:val="000000" w:themeColor="text1"/>
          <w:lang w:eastAsia="en-AU"/>
        </w:rPr>
      </w:pPr>
      <w:r w:rsidRPr="00590E7D">
        <w:rPr>
          <w:b/>
          <w:color w:val="000000" w:themeColor="text1"/>
          <w:lang w:eastAsia="en-AU"/>
        </w:rPr>
        <w:t>Declarations:</w:t>
      </w:r>
      <w:r w:rsidRPr="00590E7D">
        <w:rPr>
          <w:color w:val="000000" w:themeColor="text1"/>
          <w:lang w:eastAsia="en-AU"/>
        </w:rPr>
        <w:t xml:space="preserve"> </w:t>
      </w:r>
      <w:r w:rsidRPr="00590E7D">
        <w:rPr>
          <w:color w:val="000000" w:themeColor="text1"/>
          <w:lang w:val="en-GB"/>
        </w:rPr>
        <w:t xml:space="preserve">KOS serves in a voluntary capacity as Senior Associate Editor of </w:t>
      </w:r>
      <w:r w:rsidRPr="00590E7D">
        <w:rPr>
          <w:i/>
          <w:color w:val="000000" w:themeColor="text1"/>
          <w:lang w:val="en-GB"/>
        </w:rPr>
        <w:t>BJSM</w:t>
      </w:r>
      <w:r w:rsidRPr="00590E7D">
        <w:rPr>
          <w:color w:val="000000" w:themeColor="text1"/>
          <w:lang w:val="en-GB"/>
        </w:rPr>
        <w:t xml:space="preserve">. </w:t>
      </w:r>
    </w:p>
    <w:p w14:paraId="2A77FB00" w14:textId="77777777" w:rsidR="00B558F2" w:rsidRPr="00590E7D" w:rsidRDefault="00B558F2" w:rsidP="00027544">
      <w:pPr>
        <w:jc w:val="both"/>
        <w:rPr>
          <w:color w:val="000000" w:themeColor="text1"/>
          <w:lang w:eastAsia="en-AU"/>
        </w:rPr>
      </w:pPr>
    </w:p>
    <w:p w14:paraId="55A003B0" w14:textId="77777777" w:rsidR="00027544" w:rsidRPr="00590E7D" w:rsidRDefault="00027544" w:rsidP="00027544">
      <w:pPr>
        <w:jc w:val="both"/>
        <w:rPr>
          <w:b/>
          <w:color w:val="000000" w:themeColor="text1"/>
        </w:rPr>
      </w:pPr>
    </w:p>
    <w:p w14:paraId="684BCAD6" w14:textId="56DCD31D" w:rsidR="00027544" w:rsidRPr="00590E7D" w:rsidRDefault="00027544" w:rsidP="00027544">
      <w:pPr>
        <w:jc w:val="both"/>
        <w:rPr>
          <w:b/>
          <w:color w:val="000000" w:themeColor="text1"/>
        </w:rPr>
      </w:pPr>
    </w:p>
    <w:p w14:paraId="709BF4CC" w14:textId="2A0B1A37" w:rsidR="00027544" w:rsidRPr="00590E7D" w:rsidRDefault="00027544" w:rsidP="00027544">
      <w:pPr>
        <w:jc w:val="both"/>
        <w:rPr>
          <w:b/>
          <w:color w:val="000000" w:themeColor="text1"/>
        </w:rPr>
      </w:pPr>
    </w:p>
    <w:p w14:paraId="06F97D3C" w14:textId="77777777" w:rsidR="00027544" w:rsidRPr="00590E7D" w:rsidRDefault="00027544" w:rsidP="00027544">
      <w:pPr>
        <w:jc w:val="both"/>
        <w:rPr>
          <w:b/>
          <w:color w:val="000000" w:themeColor="text1"/>
        </w:rPr>
      </w:pPr>
    </w:p>
    <w:p w14:paraId="37BCE7F8" w14:textId="77777777" w:rsidR="00027544" w:rsidRPr="00590E7D" w:rsidRDefault="00027544" w:rsidP="00027544">
      <w:pPr>
        <w:jc w:val="both"/>
        <w:rPr>
          <w:b/>
          <w:color w:val="000000" w:themeColor="text1"/>
        </w:rPr>
      </w:pPr>
    </w:p>
    <w:p w14:paraId="34638F73" w14:textId="77777777" w:rsidR="00F66FAC" w:rsidRPr="00590E7D" w:rsidRDefault="00F66FAC" w:rsidP="00027544">
      <w:pPr>
        <w:jc w:val="both"/>
        <w:rPr>
          <w:b/>
          <w:color w:val="000000" w:themeColor="text1"/>
        </w:rPr>
      </w:pPr>
    </w:p>
    <w:p w14:paraId="3D538513" w14:textId="77777777" w:rsidR="00F66FAC" w:rsidRPr="00590E7D" w:rsidRDefault="00F66FAC" w:rsidP="00027544">
      <w:pPr>
        <w:jc w:val="both"/>
        <w:rPr>
          <w:b/>
          <w:color w:val="000000" w:themeColor="text1"/>
        </w:rPr>
      </w:pPr>
    </w:p>
    <w:p w14:paraId="4E8927A5" w14:textId="77777777" w:rsidR="00F66FAC" w:rsidRPr="00590E7D" w:rsidRDefault="00F66FAC" w:rsidP="00027544">
      <w:pPr>
        <w:jc w:val="both"/>
        <w:rPr>
          <w:b/>
          <w:color w:val="000000" w:themeColor="text1"/>
        </w:rPr>
      </w:pPr>
    </w:p>
    <w:p w14:paraId="0FB654FD" w14:textId="1A120012" w:rsidR="00F66FAC" w:rsidRPr="00590E7D" w:rsidRDefault="00F66FAC" w:rsidP="00027544">
      <w:pPr>
        <w:jc w:val="both"/>
        <w:rPr>
          <w:b/>
          <w:color w:val="000000" w:themeColor="text1"/>
        </w:rPr>
      </w:pPr>
    </w:p>
    <w:p w14:paraId="3F998064" w14:textId="7EDF4B99" w:rsidR="00F10726" w:rsidRPr="00590E7D" w:rsidRDefault="00F10726" w:rsidP="00027544">
      <w:pPr>
        <w:jc w:val="both"/>
        <w:rPr>
          <w:b/>
          <w:color w:val="000000" w:themeColor="text1"/>
        </w:rPr>
      </w:pPr>
    </w:p>
    <w:p w14:paraId="0052ECAF" w14:textId="7B866398" w:rsidR="001E1CBC" w:rsidRPr="00590E7D" w:rsidRDefault="001E1CBC" w:rsidP="00027544">
      <w:pPr>
        <w:jc w:val="both"/>
        <w:rPr>
          <w:b/>
          <w:color w:val="000000" w:themeColor="text1"/>
        </w:rPr>
      </w:pPr>
    </w:p>
    <w:p w14:paraId="57E4F25C" w14:textId="60D256A5" w:rsidR="006109D7" w:rsidRPr="00590E7D" w:rsidRDefault="00D8792C" w:rsidP="00027544">
      <w:pPr>
        <w:jc w:val="both"/>
        <w:rPr>
          <w:color w:val="000000" w:themeColor="text1"/>
        </w:rPr>
      </w:pPr>
      <w:r w:rsidRPr="00590E7D">
        <w:rPr>
          <w:b/>
          <w:color w:val="000000" w:themeColor="text1"/>
        </w:rPr>
        <w:lastRenderedPageBreak/>
        <w:t>References:</w:t>
      </w:r>
      <w:r w:rsidRPr="00590E7D">
        <w:rPr>
          <w:color w:val="000000" w:themeColor="text1"/>
        </w:rPr>
        <w:t xml:space="preserve"> </w:t>
      </w:r>
    </w:p>
    <w:p w14:paraId="05329894" w14:textId="77777777" w:rsidR="00B558F2" w:rsidRPr="00590E7D" w:rsidRDefault="00B558F2" w:rsidP="00027544">
      <w:pPr>
        <w:tabs>
          <w:tab w:val="center" w:pos="4513"/>
        </w:tabs>
        <w:jc w:val="both"/>
        <w:rPr>
          <w:color w:val="000000" w:themeColor="text1"/>
        </w:rPr>
      </w:pPr>
    </w:p>
    <w:p w14:paraId="662762E6" w14:textId="1009F97C" w:rsidR="001E1CBC" w:rsidRPr="00590E7D" w:rsidRDefault="00D8792C" w:rsidP="001E1CBC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Darlow B, Dowell A, Baxter GD, </w:t>
      </w:r>
      <w:r w:rsidR="002B1DBF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al.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enduring impact of what clinicians say to people with low back pain. </w:t>
      </w:r>
      <w:r w:rsidRPr="0059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 Fam Med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2013; </w:t>
      </w:r>
      <w:r w:rsidRPr="0059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(6): 527-34. </w:t>
      </w:r>
    </w:p>
    <w:p w14:paraId="1EF2B0C1" w14:textId="77777777" w:rsidR="001E1CBC" w:rsidRPr="00590E7D" w:rsidRDefault="00D8792C" w:rsidP="001E1CBC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Buchbinder R, Jolley D, Wyatt M. Population based intervention to change back pain beliefs and disability: three part evaluation. </w:t>
      </w:r>
      <w:r w:rsidRPr="0059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 2001; </w:t>
      </w:r>
      <w:r w:rsidRPr="0059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322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(7301): 1516-20.</w:t>
      </w:r>
    </w:p>
    <w:p w14:paraId="3766D01A" w14:textId="77777777" w:rsidR="001E1CBC" w:rsidRPr="00590E7D" w:rsidRDefault="00D8792C" w:rsidP="00027544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Gross DP, Russell AS, </w:t>
      </w:r>
      <w:r w:rsidR="00966B1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Ferrari R, 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al. </w:t>
      </w:r>
      <w:r w:rsidR="00966B1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Evaluation of a Canadian back pain mass media campaign. </w:t>
      </w:r>
      <w:r w:rsidR="00B558F2" w:rsidRPr="0059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Spine (Phila Pa 1976)</w:t>
      </w:r>
      <w:r w:rsidR="00966B1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66B12" w:rsidRPr="0059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="00966B1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(8): 906-13</w:t>
      </w:r>
      <w:r w:rsidR="00B558F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</w:p>
    <w:p w14:paraId="53685293" w14:textId="6E97B0C3" w:rsidR="001E1CBC" w:rsidRPr="00590E7D" w:rsidRDefault="00D8792C" w:rsidP="001E1CBC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Traeger AC, Hübscher M, Henschke N, et al.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Effect of Primary Care-Based Education on Reassurance in Patients With Acute Low Back Pain</w:t>
      </w:r>
      <w:r w:rsidR="006C5C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590E7D">
        <w:rPr>
          <w:rStyle w:val="Subtitle2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Systematic Review and Meta-analysis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Pr="00590E7D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JAMA Intern Med.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2015;</w:t>
      </w:r>
      <w:r w:rsidRPr="00590E7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175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(5):733–743.</w:t>
      </w:r>
    </w:p>
    <w:p w14:paraId="3944B6E9" w14:textId="77777777" w:rsidR="001E1CBC" w:rsidRPr="00590E7D" w:rsidRDefault="00D8792C" w:rsidP="001E1CBC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12" w:rsidRPr="00590E7D">
        <w:rPr>
          <w:rStyle w:val="nlm-surname"/>
          <w:rFonts w:ascii="Times New Roman" w:hAnsi="Times New Roman" w:cs="Times New Roman"/>
          <w:color w:val="000000" w:themeColor="text1"/>
          <w:sz w:val="24"/>
          <w:szCs w:val="24"/>
        </w:rPr>
        <w:t>Barton</w:t>
      </w:r>
      <w:r w:rsidR="00966B12" w:rsidRPr="00590E7D">
        <w:rPr>
          <w:rStyle w:val="highwire-citation-author"/>
          <w:rFonts w:ascii="Times New Roman" w:hAnsi="Times New Roman" w:cs="Times New Roman"/>
          <w:color w:val="000000" w:themeColor="text1"/>
          <w:sz w:val="24"/>
          <w:szCs w:val="24"/>
        </w:rPr>
        <w:t> CJ</w:t>
      </w:r>
      <w:r w:rsidR="00966B12" w:rsidRPr="00590E7D">
        <w:rPr>
          <w:rStyle w:val="highwire-citation-authors"/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="00966B12" w:rsidRPr="00590E7D">
        <w:rPr>
          <w:rStyle w:val="nlm-surname"/>
          <w:rFonts w:ascii="Times New Roman" w:hAnsi="Times New Roman" w:cs="Times New Roman"/>
          <w:color w:val="000000" w:themeColor="text1"/>
          <w:sz w:val="24"/>
          <w:szCs w:val="24"/>
        </w:rPr>
        <w:t>Merolli</w:t>
      </w:r>
      <w:r w:rsidR="00966B12" w:rsidRPr="00590E7D">
        <w:rPr>
          <w:rStyle w:val="highwire-citation-author"/>
          <w:rFonts w:ascii="Times New Roman" w:hAnsi="Times New Roman" w:cs="Times New Roman"/>
          <w:color w:val="000000" w:themeColor="text1"/>
          <w:sz w:val="24"/>
          <w:szCs w:val="24"/>
        </w:rPr>
        <w:t> MA</w:t>
      </w:r>
      <w:r w:rsidR="00F10726" w:rsidRPr="00590E7D">
        <w:rPr>
          <w:rStyle w:val="highwire-citation-author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C6C07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12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It is time to replace publish or perish with get visible or vanish: opportunities where digital and social media can reshape knowledge translation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0726" w:rsidRPr="00590E7D">
        <w:rPr>
          <w:rStyle w:val="highwire-cite-metadata-journal"/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Br J Sports Med</w:t>
      </w:r>
      <w:r w:rsidR="00966B12" w:rsidRPr="00590E7D">
        <w:rPr>
          <w:rStyle w:val="highwire-cite-metadata-journal"/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 2017 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[Epub ahead of print]</w:t>
      </w:r>
    </w:p>
    <w:p w14:paraId="6D893182" w14:textId="77777777" w:rsidR="001E1CBC" w:rsidRPr="00590E7D" w:rsidRDefault="00D8792C" w:rsidP="001E1CBC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Wakefield MA, Loken B, Hornik RC. Use of mass media campaigns to change health behaviour. </w:t>
      </w:r>
      <w:r w:rsidRPr="00590E7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da-DK"/>
        </w:rPr>
        <w:t>The Lancet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2010 Oct 9;376(9748):1261-71.</w:t>
      </w:r>
    </w:p>
    <w:p w14:paraId="3B5CAA2E" w14:textId="625E5359" w:rsidR="001E1CBC" w:rsidRPr="00590E7D" w:rsidRDefault="00D8792C" w:rsidP="0088394D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Wong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F. Huhman M, Asbury L,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et al. 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VERB — A Social Marketing Campaign to Increase Physical Activity Among Youth. </w:t>
      </w:r>
      <w:r w:rsidR="006F068E" w:rsidRPr="0059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Prev Chronic D</w:t>
      </w:r>
      <w:r w:rsidR="00F10726" w:rsidRPr="0059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2004;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68E" w:rsidRPr="00590E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(3)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F068E" w:rsidRPr="00590E7D">
        <w:rPr>
          <w:rFonts w:ascii="Times New Roman" w:hAnsi="Times New Roman" w:cs="Times New Roman"/>
          <w:color w:val="000000" w:themeColor="text1"/>
          <w:sz w:val="24"/>
          <w:szCs w:val="24"/>
        </w:rPr>
        <w:t>A10.</w:t>
      </w:r>
    </w:p>
    <w:p w14:paraId="10BF6765" w14:textId="0678BC09" w:rsidR="0088394D" w:rsidRPr="00590E7D" w:rsidRDefault="00D8792C" w:rsidP="0088394D">
      <w:pPr>
        <w:pStyle w:val="Heading1"/>
        <w:numPr>
          <w:ilvl w:val="0"/>
          <w:numId w:val="14"/>
        </w:numPr>
        <w:spacing w:before="120" w:after="12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Bellew, W., Bauman, A., Freeman, B</w:t>
      </w:r>
      <w:r w:rsidR="002B1DBF"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, et al.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Social countermarketing: brave new world, brave new map. </w:t>
      </w:r>
      <w:r w:rsidRPr="00590E7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Journal of Social Marketing</w:t>
      </w:r>
      <w:r w:rsidR="002B1DBF" w:rsidRPr="00590E7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B1DBF" w:rsidRPr="00590E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2017</w:t>
      </w:r>
      <w:r w:rsidR="00F10726" w:rsidRPr="00590E7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val="en-US"/>
        </w:rPr>
        <w:t>;</w:t>
      </w:r>
      <w:r w:rsidRPr="00590E7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  <w:lang w:val="en-US"/>
        </w:rPr>
        <w:t>7</w:t>
      </w:r>
      <w:r w:rsidR="00F10726"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(2): </w:t>
      </w:r>
      <w:r w:rsidRPr="00590E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205-222.</w:t>
      </w:r>
    </w:p>
    <w:p w14:paraId="17EF9713" w14:textId="77777777" w:rsidR="006420D1" w:rsidRPr="001E1CBC" w:rsidRDefault="006420D1" w:rsidP="00027544">
      <w:pPr>
        <w:jc w:val="both"/>
        <w:rPr>
          <w:color w:val="000000" w:themeColor="text1"/>
        </w:rPr>
      </w:pPr>
    </w:p>
    <w:sectPr w:rsidR="006420D1" w:rsidRPr="001E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AA4"/>
    <w:multiLevelType w:val="hybridMultilevel"/>
    <w:tmpl w:val="7A20B7FC"/>
    <w:lvl w:ilvl="0" w:tplc="647AF92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D06C9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5FA0E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D27A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789D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B5A7A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7253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D474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7FC3F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333F4"/>
    <w:multiLevelType w:val="multilevel"/>
    <w:tmpl w:val="97E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E4AE9"/>
    <w:multiLevelType w:val="hybridMultilevel"/>
    <w:tmpl w:val="FFDA0B14"/>
    <w:lvl w:ilvl="0" w:tplc="D75C9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242CB2" w:tentative="1">
      <w:start w:val="1"/>
      <w:numFmt w:val="lowerLetter"/>
      <w:lvlText w:val="%2."/>
      <w:lvlJc w:val="left"/>
      <w:pPr>
        <w:ind w:left="1440" w:hanging="360"/>
      </w:pPr>
    </w:lvl>
    <w:lvl w:ilvl="2" w:tplc="389E6FE8" w:tentative="1">
      <w:start w:val="1"/>
      <w:numFmt w:val="lowerRoman"/>
      <w:lvlText w:val="%3."/>
      <w:lvlJc w:val="right"/>
      <w:pPr>
        <w:ind w:left="2160" w:hanging="180"/>
      </w:pPr>
    </w:lvl>
    <w:lvl w:ilvl="3" w:tplc="AE2C7D98" w:tentative="1">
      <w:start w:val="1"/>
      <w:numFmt w:val="decimal"/>
      <w:lvlText w:val="%4."/>
      <w:lvlJc w:val="left"/>
      <w:pPr>
        <w:ind w:left="2880" w:hanging="360"/>
      </w:pPr>
    </w:lvl>
    <w:lvl w:ilvl="4" w:tplc="A1A81982" w:tentative="1">
      <w:start w:val="1"/>
      <w:numFmt w:val="lowerLetter"/>
      <w:lvlText w:val="%5."/>
      <w:lvlJc w:val="left"/>
      <w:pPr>
        <w:ind w:left="3600" w:hanging="360"/>
      </w:pPr>
    </w:lvl>
    <w:lvl w:ilvl="5" w:tplc="E410FE8C" w:tentative="1">
      <w:start w:val="1"/>
      <w:numFmt w:val="lowerRoman"/>
      <w:lvlText w:val="%6."/>
      <w:lvlJc w:val="right"/>
      <w:pPr>
        <w:ind w:left="4320" w:hanging="180"/>
      </w:pPr>
    </w:lvl>
    <w:lvl w:ilvl="6" w:tplc="C4E666FE" w:tentative="1">
      <w:start w:val="1"/>
      <w:numFmt w:val="decimal"/>
      <w:lvlText w:val="%7."/>
      <w:lvlJc w:val="left"/>
      <w:pPr>
        <w:ind w:left="5040" w:hanging="360"/>
      </w:pPr>
    </w:lvl>
    <w:lvl w:ilvl="7" w:tplc="81342DF4" w:tentative="1">
      <w:start w:val="1"/>
      <w:numFmt w:val="lowerLetter"/>
      <w:lvlText w:val="%8."/>
      <w:lvlJc w:val="left"/>
      <w:pPr>
        <w:ind w:left="5760" w:hanging="360"/>
      </w:pPr>
    </w:lvl>
    <w:lvl w:ilvl="8" w:tplc="53C05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983"/>
    <w:multiLevelType w:val="multilevel"/>
    <w:tmpl w:val="7F1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A3394"/>
    <w:multiLevelType w:val="hybridMultilevel"/>
    <w:tmpl w:val="972AAB00"/>
    <w:lvl w:ilvl="0" w:tplc="83E6B792">
      <w:start w:val="3"/>
      <w:numFmt w:val="decimal"/>
      <w:lvlText w:val="%1"/>
      <w:lvlJc w:val="left"/>
      <w:pPr>
        <w:ind w:left="720" w:hanging="360"/>
      </w:pPr>
      <w:rPr>
        <w:rFonts w:ascii="Helvetica" w:eastAsia="Times New Roman" w:hAnsi="Helvetica" w:hint="default"/>
        <w:color w:val="222222"/>
        <w:sz w:val="26"/>
      </w:rPr>
    </w:lvl>
    <w:lvl w:ilvl="1" w:tplc="D53626B2" w:tentative="1">
      <w:start w:val="1"/>
      <w:numFmt w:val="lowerLetter"/>
      <w:lvlText w:val="%2."/>
      <w:lvlJc w:val="left"/>
      <w:pPr>
        <w:ind w:left="1440" w:hanging="360"/>
      </w:pPr>
    </w:lvl>
    <w:lvl w:ilvl="2" w:tplc="D6AAE2DC" w:tentative="1">
      <w:start w:val="1"/>
      <w:numFmt w:val="lowerRoman"/>
      <w:lvlText w:val="%3."/>
      <w:lvlJc w:val="right"/>
      <w:pPr>
        <w:ind w:left="2160" w:hanging="180"/>
      </w:pPr>
    </w:lvl>
    <w:lvl w:ilvl="3" w:tplc="A25C0F42" w:tentative="1">
      <w:start w:val="1"/>
      <w:numFmt w:val="decimal"/>
      <w:lvlText w:val="%4."/>
      <w:lvlJc w:val="left"/>
      <w:pPr>
        <w:ind w:left="2880" w:hanging="360"/>
      </w:pPr>
    </w:lvl>
    <w:lvl w:ilvl="4" w:tplc="9DFE8F8C" w:tentative="1">
      <w:start w:val="1"/>
      <w:numFmt w:val="lowerLetter"/>
      <w:lvlText w:val="%5."/>
      <w:lvlJc w:val="left"/>
      <w:pPr>
        <w:ind w:left="3600" w:hanging="360"/>
      </w:pPr>
    </w:lvl>
    <w:lvl w:ilvl="5" w:tplc="71C651C0" w:tentative="1">
      <w:start w:val="1"/>
      <w:numFmt w:val="lowerRoman"/>
      <w:lvlText w:val="%6."/>
      <w:lvlJc w:val="right"/>
      <w:pPr>
        <w:ind w:left="4320" w:hanging="180"/>
      </w:pPr>
    </w:lvl>
    <w:lvl w:ilvl="6" w:tplc="AA5871EC" w:tentative="1">
      <w:start w:val="1"/>
      <w:numFmt w:val="decimal"/>
      <w:lvlText w:val="%7."/>
      <w:lvlJc w:val="left"/>
      <w:pPr>
        <w:ind w:left="5040" w:hanging="360"/>
      </w:pPr>
    </w:lvl>
    <w:lvl w:ilvl="7" w:tplc="F1FA9644" w:tentative="1">
      <w:start w:val="1"/>
      <w:numFmt w:val="lowerLetter"/>
      <w:lvlText w:val="%8."/>
      <w:lvlJc w:val="left"/>
      <w:pPr>
        <w:ind w:left="5760" w:hanging="360"/>
      </w:pPr>
    </w:lvl>
    <w:lvl w:ilvl="8" w:tplc="42A2D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1749F"/>
    <w:multiLevelType w:val="hybridMultilevel"/>
    <w:tmpl w:val="AEAC878A"/>
    <w:lvl w:ilvl="0" w:tplc="BC44F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2D4CC" w:tentative="1">
      <w:start w:val="1"/>
      <w:numFmt w:val="lowerLetter"/>
      <w:lvlText w:val="%2."/>
      <w:lvlJc w:val="left"/>
      <w:pPr>
        <w:ind w:left="1440" w:hanging="360"/>
      </w:pPr>
    </w:lvl>
    <w:lvl w:ilvl="2" w:tplc="2A901F2A" w:tentative="1">
      <w:start w:val="1"/>
      <w:numFmt w:val="lowerRoman"/>
      <w:lvlText w:val="%3."/>
      <w:lvlJc w:val="right"/>
      <w:pPr>
        <w:ind w:left="2160" w:hanging="180"/>
      </w:pPr>
    </w:lvl>
    <w:lvl w:ilvl="3" w:tplc="0ED2DB54" w:tentative="1">
      <w:start w:val="1"/>
      <w:numFmt w:val="decimal"/>
      <w:lvlText w:val="%4."/>
      <w:lvlJc w:val="left"/>
      <w:pPr>
        <w:ind w:left="2880" w:hanging="360"/>
      </w:pPr>
    </w:lvl>
    <w:lvl w:ilvl="4" w:tplc="A922F468" w:tentative="1">
      <w:start w:val="1"/>
      <w:numFmt w:val="lowerLetter"/>
      <w:lvlText w:val="%5."/>
      <w:lvlJc w:val="left"/>
      <w:pPr>
        <w:ind w:left="3600" w:hanging="360"/>
      </w:pPr>
    </w:lvl>
    <w:lvl w:ilvl="5" w:tplc="059C804A" w:tentative="1">
      <w:start w:val="1"/>
      <w:numFmt w:val="lowerRoman"/>
      <w:lvlText w:val="%6."/>
      <w:lvlJc w:val="right"/>
      <w:pPr>
        <w:ind w:left="4320" w:hanging="180"/>
      </w:pPr>
    </w:lvl>
    <w:lvl w:ilvl="6" w:tplc="18AE137A" w:tentative="1">
      <w:start w:val="1"/>
      <w:numFmt w:val="decimal"/>
      <w:lvlText w:val="%7."/>
      <w:lvlJc w:val="left"/>
      <w:pPr>
        <w:ind w:left="5040" w:hanging="360"/>
      </w:pPr>
    </w:lvl>
    <w:lvl w:ilvl="7" w:tplc="78A26A9C" w:tentative="1">
      <w:start w:val="1"/>
      <w:numFmt w:val="lowerLetter"/>
      <w:lvlText w:val="%8."/>
      <w:lvlJc w:val="left"/>
      <w:pPr>
        <w:ind w:left="5760" w:hanging="360"/>
      </w:pPr>
    </w:lvl>
    <w:lvl w:ilvl="8" w:tplc="3C54C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750FD"/>
    <w:multiLevelType w:val="multilevel"/>
    <w:tmpl w:val="968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31D81"/>
    <w:multiLevelType w:val="hybridMultilevel"/>
    <w:tmpl w:val="26CEF704"/>
    <w:lvl w:ilvl="0" w:tplc="6ED418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0EDD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82AD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3639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441C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008C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6A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64CE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BAEC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384519"/>
    <w:multiLevelType w:val="multilevel"/>
    <w:tmpl w:val="1D78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2C4542"/>
    <w:multiLevelType w:val="hybridMultilevel"/>
    <w:tmpl w:val="8D38005E"/>
    <w:lvl w:ilvl="0" w:tplc="1D1068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7B8DA74" w:tentative="1">
      <w:start w:val="1"/>
      <w:numFmt w:val="lowerLetter"/>
      <w:lvlText w:val="%2."/>
      <w:lvlJc w:val="left"/>
      <w:pPr>
        <w:ind w:left="1800" w:hanging="360"/>
      </w:pPr>
    </w:lvl>
    <w:lvl w:ilvl="2" w:tplc="22461A30" w:tentative="1">
      <w:start w:val="1"/>
      <w:numFmt w:val="lowerRoman"/>
      <w:lvlText w:val="%3."/>
      <w:lvlJc w:val="right"/>
      <w:pPr>
        <w:ind w:left="2520" w:hanging="180"/>
      </w:pPr>
    </w:lvl>
    <w:lvl w:ilvl="3" w:tplc="2B1ADA6E" w:tentative="1">
      <w:start w:val="1"/>
      <w:numFmt w:val="decimal"/>
      <w:lvlText w:val="%4."/>
      <w:lvlJc w:val="left"/>
      <w:pPr>
        <w:ind w:left="3240" w:hanging="360"/>
      </w:pPr>
    </w:lvl>
    <w:lvl w:ilvl="4" w:tplc="27880082" w:tentative="1">
      <w:start w:val="1"/>
      <w:numFmt w:val="lowerLetter"/>
      <w:lvlText w:val="%5."/>
      <w:lvlJc w:val="left"/>
      <w:pPr>
        <w:ind w:left="3960" w:hanging="360"/>
      </w:pPr>
    </w:lvl>
    <w:lvl w:ilvl="5" w:tplc="E30CC5D4" w:tentative="1">
      <w:start w:val="1"/>
      <w:numFmt w:val="lowerRoman"/>
      <w:lvlText w:val="%6."/>
      <w:lvlJc w:val="right"/>
      <w:pPr>
        <w:ind w:left="4680" w:hanging="180"/>
      </w:pPr>
    </w:lvl>
    <w:lvl w:ilvl="6" w:tplc="EEBE9F98" w:tentative="1">
      <w:start w:val="1"/>
      <w:numFmt w:val="decimal"/>
      <w:lvlText w:val="%7."/>
      <w:lvlJc w:val="left"/>
      <w:pPr>
        <w:ind w:left="5400" w:hanging="360"/>
      </w:pPr>
    </w:lvl>
    <w:lvl w:ilvl="7" w:tplc="18002C76" w:tentative="1">
      <w:start w:val="1"/>
      <w:numFmt w:val="lowerLetter"/>
      <w:lvlText w:val="%8."/>
      <w:lvlJc w:val="left"/>
      <w:pPr>
        <w:ind w:left="6120" w:hanging="360"/>
      </w:pPr>
    </w:lvl>
    <w:lvl w:ilvl="8" w:tplc="FCEEF0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4F5E6E"/>
    <w:multiLevelType w:val="hybridMultilevel"/>
    <w:tmpl w:val="CBF64BC8"/>
    <w:lvl w:ilvl="0" w:tplc="F060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ADE46" w:tentative="1">
      <w:start w:val="1"/>
      <w:numFmt w:val="lowerLetter"/>
      <w:lvlText w:val="%2."/>
      <w:lvlJc w:val="left"/>
      <w:pPr>
        <w:ind w:left="1440" w:hanging="360"/>
      </w:pPr>
    </w:lvl>
    <w:lvl w:ilvl="2" w:tplc="C7A21162" w:tentative="1">
      <w:start w:val="1"/>
      <w:numFmt w:val="lowerRoman"/>
      <w:lvlText w:val="%3."/>
      <w:lvlJc w:val="right"/>
      <w:pPr>
        <w:ind w:left="2160" w:hanging="180"/>
      </w:pPr>
    </w:lvl>
    <w:lvl w:ilvl="3" w:tplc="39C6C55C" w:tentative="1">
      <w:start w:val="1"/>
      <w:numFmt w:val="decimal"/>
      <w:lvlText w:val="%4."/>
      <w:lvlJc w:val="left"/>
      <w:pPr>
        <w:ind w:left="2880" w:hanging="360"/>
      </w:pPr>
    </w:lvl>
    <w:lvl w:ilvl="4" w:tplc="DCB467F8" w:tentative="1">
      <w:start w:val="1"/>
      <w:numFmt w:val="lowerLetter"/>
      <w:lvlText w:val="%5."/>
      <w:lvlJc w:val="left"/>
      <w:pPr>
        <w:ind w:left="3600" w:hanging="360"/>
      </w:pPr>
    </w:lvl>
    <w:lvl w:ilvl="5" w:tplc="F83A8BB4" w:tentative="1">
      <w:start w:val="1"/>
      <w:numFmt w:val="lowerRoman"/>
      <w:lvlText w:val="%6."/>
      <w:lvlJc w:val="right"/>
      <w:pPr>
        <w:ind w:left="4320" w:hanging="180"/>
      </w:pPr>
    </w:lvl>
    <w:lvl w:ilvl="6" w:tplc="135614C2" w:tentative="1">
      <w:start w:val="1"/>
      <w:numFmt w:val="decimal"/>
      <w:lvlText w:val="%7."/>
      <w:lvlJc w:val="left"/>
      <w:pPr>
        <w:ind w:left="5040" w:hanging="360"/>
      </w:pPr>
    </w:lvl>
    <w:lvl w:ilvl="7" w:tplc="D9C04216" w:tentative="1">
      <w:start w:val="1"/>
      <w:numFmt w:val="lowerLetter"/>
      <w:lvlText w:val="%8."/>
      <w:lvlJc w:val="left"/>
      <w:pPr>
        <w:ind w:left="5760" w:hanging="360"/>
      </w:pPr>
    </w:lvl>
    <w:lvl w:ilvl="8" w:tplc="9D60D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1276B"/>
    <w:multiLevelType w:val="hybridMultilevel"/>
    <w:tmpl w:val="F56CEE1A"/>
    <w:lvl w:ilvl="0" w:tplc="66BE2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A36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42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5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AB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A85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66E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EE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64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5578"/>
    <w:multiLevelType w:val="hybridMultilevel"/>
    <w:tmpl w:val="72CEB074"/>
    <w:lvl w:ilvl="0" w:tplc="5DDAE9B4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36187F2C" w:tentative="1">
      <w:start w:val="1"/>
      <w:numFmt w:val="lowerLetter"/>
      <w:lvlText w:val="%2."/>
      <w:lvlJc w:val="left"/>
      <w:pPr>
        <w:ind w:left="1440" w:hanging="360"/>
      </w:pPr>
    </w:lvl>
    <w:lvl w:ilvl="2" w:tplc="3B327652" w:tentative="1">
      <w:start w:val="1"/>
      <w:numFmt w:val="lowerRoman"/>
      <w:lvlText w:val="%3."/>
      <w:lvlJc w:val="right"/>
      <w:pPr>
        <w:ind w:left="2160" w:hanging="180"/>
      </w:pPr>
    </w:lvl>
    <w:lvl w:ilvl="3" w:tplc="B0949C7A" w:tentative="1">
      <w:start w:val="1"/>
      <w:numFmt w:val="decimal"/>
      <w:lvlText w:val="%4."/>
      <w:lvlJc w:val="left"/>
      <w:pPr>
        <w:ind w:left="2880" w:hanging="360"/>
      </w:pPr>
    </w:lvl>
    <w:lvl w:ilvl="4" w:tplc="71007306" w:tentative="1">
      <w:start w:val="1"/>
      <w:numFmt w:val="lowerLetter"/>
      <w:lvlText w:val="%5."/>
      <w:lvlJc w:val="left"/>
      <w:pPr>
        <w:ind w:left="3600" w:hanging="360"/>
      </w:pPr>
    </w:lvl>
    <w:lvl w:ilvl="5" w:tplc="0B087860" w:tentative="1">
      <w:start w:val="1"/>
      <w:numFmt w:val="lowerRoman"/>
      <w:lvlText w:val="%6."/>
      <w:lvlJc w:val="right"/>
      <w:pPr>
        <w:ind w:left="4320" w:hanging="180"/>
      </w:pPr>
    </w:lvl>
    <w:lvl w:ilvl="6" w:tplc="6AEEA3B0" w:tentative="1">
      <w:start w:val="1"/>
      <w:numFmt w:val="decimal"/>
      <w:lvlText w:val="%7."/>
      <w:lvlJc w:val="left"/>
      <w:pPr>
        <w:ind w:left="5040" w:hanging="360"/>
      </w:pPr>
    </w:lvl>
    <w:lvl w:ilvl="7" w:tplc="0D722C2E" w:tentative="1">
      <w:start w:val="1"/>
      <w:numFmt w:val="lowerLetter"/>
      <w:lvlText w:val="%8."/>
      <w:lvlJc w:val="left"/>
      <w:pPr>
        <w:ind w:left="5760" w:hanging="360"/>
      </w:pPr>
    </w:lvl>
    <w:lvl w:ilvl="8" w:tplc="3C6A28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7A1F"/>
    <w:multiLevelType w:val="hybridMultilevel"/>
    <w:tmpl w:val="CBF64BC8"/>
    <w:lvl w:ilvl="0" w:tplc="5ACE2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F861EE" w:tentative="1">
      <w:start w:val="1"/>
      <w:numFmt w:val="lowerLetter"/>
      <w:lvlText w:val="%2."/>
      <w:lvlJc w:val="left"/>
      <w:pPr>
        <w:ind w:left="1440" w:hanging="360"/>
      </w:pPr>
    </w:lvl>
    <w:lvl w:ilvl="2" w:tplc="4E70B15E" w:tentative="1">
      <w:start w:val="1"/>
      <w:numFmt w:val="lowerRoman"/>
      <w:lvlText w:val="%3."/>
      <w:lvlJc w:val="right"/>
      <w:pPr>
        <w:ind w:left="2160" w:hanging="180"/>
      </w:pPr>
    </w:lvl>
    <w:lvl w:ilvl="3" w:tplc="F5929426" w:tentative="1">
      <w:start w:val="1"/>
      <w:numFmt w:val="decimal"/>
      <w:lvlText w:val="%4."/>
      <w:lvlJc w:val="left"/>
      <w:pPr>
        <w:ind w:left="2880" w:hanging="360"/>
      </w:pPr>
    </w:lvl>
    <w:lvl w:ilvl="4" w:tplc="F796BD0A" w:tentative="1">
      <w:start w:val="1"/>
      <w:numFmt w:val="lowerLetter"/>
      <w:lvlText w:val="%5."/>
      <w:lvlJc w:val="left"/>
      <w:pPr>
        <w:ind w:left="3600" w:hanging="360"/>
      </w:pPr>
    </w:lvl>
    <w:lvl w:ilvl="5" w:tplc="B05C34A6" w:tentative="1">
      <w:start w:val="1"/>
      <w:numFmt w:val="lowerRoman"/>
      <w:lvlText w:val="%6."/>
      <w:lvlJc w:val="right"/>
      <w:pPr>
        <w:ind w:left="4320" w:hanging="180"/>
      </w:pPr>
    </w:lvl>
    <w:lvl w:ilvl="6" w:tplc="15EEA8D8" w:tentative="1">
      <w:start w:val="1"/>
      <w:numFmt w:val="decimal"/>
      <w:lvlText w:val="%7."/>
      <w:lvlJc w:val="left"/>
      <w:pPr>
        <w:ind w:left="5040" w:hanging="360"/>
      </w:pPr>
    </w:lvl>
    <w:lvl w:ilvl="7" w:tplc="001EFD6A" w:tentative="1">
      <w:start w:val="1"/>
      <w:numFmt w:val="lowerLetter"/>
      <w:lvlText w:val="%8."/>
      <w:lvlJc w:val="left"/>
      <w:pPr>
        <w:ind w:left="5760" w:hanging="360"/>
      </w:pPr>
    </w:lvl>
    <w:lvl w:ilvl="8" w:tplc="694AA4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B558F2"/>
    <w:rsid w:val="00027544"/>
    <w:rsid w:val="000D0CE5"/>
    <w:rsid w:val="000D1AF5"/>
    <w:rsid w:val="0013268E"/>
    <w:rsid w:val="001472B1"/>
    <w:rsid w:val="001B7FD6"/>
    <w:rsid w:val="001E1CBC"/>
    <w:rsid w:val="001F1EEF"/>
    <w:rsid w:val="00277218"/>
    <w:rsid w:val="0029002E"/>
    <w:rsid w:val="002A4009"/>
    <w:rsid w:val="002B0F38"/>
    <w:rsid w:val="002B1DBF"/>
    <w:rsid w:val="002F0F0C"/>
    <w:rsid w:val="00307024"/>
    <w:rsid w:val="003272C1"/>
    <w:rsid w:val="0034382D"/>
    <w:rsid w:val="00385DA2"/>
    <w:rsid w:val="003E6B3E"/>
    <w:rsid w:val="00440A9D"/>
    <w:rsid w:val="00455CF9"/>
    <w:rsid w:val="004B737F"/>
    <w:rsid w:val="004D03D1"/>
    <w:rsid w:val="004D32F4"/>
    <w:rsid w:val="004F6C62"/>
    <w:rsid w:val="005026E7"/>
    <w:rsid w:val="00513E13"/>
    <w:rsid w:val="0053059D"/>
    <w:rsid w:val="00540A40"/>
    <w:rsid w:val="00574456"/>
    <w:rsid w:val="00575C97"/>
    <w:rsid w:val="00590E7D"/>
    <w:rsid w:val="005B10BD"/>
    <w:rsid w:val="005E25A9"/>
    <w:rsid w:val="006109D7"/>
    <w:rsid w:val="006420D1"/>
    <w:rsid w:val="00647579"/>
    <w:rsid w:val="006538CF"/>
    <w:rsid w:val="00683858"/>
    <w:rsid w:val="006C5CC8"/>
    <w:rsid w:val="006F068E"/>
    <w:rsid w:val="00753A36"/>
    <w:rsid w:val="00787A44"/>
    <w:rsid w:val="007D77C0"/>
    <w:rsid w:val="00816B12"/>
    <w:rsid w:val="00875FE4"/>
    <w:rsid w:val="0088394D"/>
    <w:rsid w:val="008B7183"/>
    <w:rsid w:val="008E0A2A"/>
    <w:rsid w:val="008E4C0D"/>
    <w:rsid w:val="00966B12"/>
    <w:rsid w:val="009C6735"/>
    <w:rsid w:val="009E3DBC"/>
    <w:rsid w:val="009E462F"/>
    <w:rsid w:val="00A35F0D"/>
    <w:rsid w:val="00A42F38"/>
    <w:rsid w:val="00A87DBB"/>
    <w:rsid w:val="00AB2AFC"/>
    <w:rsid w:val="00AB4C6C"/>
    <w:rsid w:val="00AE08F2"/>
    <w:rsid w:val="00B45BA0"/>
    <w:rsid w:val="00B558F2"/>
    <w:rsid w:val="00B6719C"/>
    <w:rsid w:val="00B94142"/>
    <w:rsid w:val="00B9543E"/>
    <w:rsid w:val="00BD53ED"/>
    <w:rsid w:val="00CF4ABD"/>
    <w:rsid w:val="00CF7872"/>
    <w:rsid w:val="00D1578F"/>
    <w:rsid w:val="00D53057"/>
    <w:rsid w:val="00D6284E"/>
    <w:rsid w:val="00D67D54"/>
    <w:rsid w:val="00D8792C"/>
    <w:rsid w:val="00DB4A91"/>
    <w:rsid w:val="00E70527"/>
    <w:rsid w:val="00E832B7"/>
    <w:rsid w:val="00EB5879"/>
    <w:rsid w:val="00EF3968"/>
    <w:rsid w:val="00F10726"/>
    <w:rsid w:val="00F66FAC"/>
    <w:rsid w:val="00F97A4B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8D0294"/>
  <w15:chartTrackingRefBased/>
  <w15:docId w15:val="{E5074352-FA43-4494-B0B0-709AC9F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8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8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84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8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paragraph" w:styleId="ListParagraph">
    <w:name w:val="List Paragraph"/>
    <w:basedOn w:val="Normal"/>
    <w:uiPriority w:val="34"/>
    <w:qFormat/>
    <w:rsid w:val="00B558F2"/>
    <w:pPr>
      <w:ind w:left="720"/>
      <w:contextualSpacing/>
    </w:pPr>
    <w:rPr>
      <w:rFonts w:eastAsiaTheme="minorHAnsi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5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8F2"/>
    <w:pPr>
      <w:spacing w:after="160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8F2"/>
    <w:rPr>
      <w:rFonts w:eastAsiaTheme="minorHAnsi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8F2"/>
    <w:rPr>
      <w:rFonts w:eastAsiaTheme="minorHAnsi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8F2"/>
    <w:rPr>
      <w:rFonts w:ascii="Segoe UI" w:eastAsiaTheme="minorHAnsi" w:hAnsi="Segoe UI" w:cs="Segoe U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F2"/>
    <w:rPr>
      <w:rFonts w:ascii="Segoe UI" w:eastAsiaTheme="minorHAnsi" w:hAnsi="Segoe UI" w:cs="Segoe UI"/>
      <w:sz w:val="18"/>
      <w:szCs w:val="18"/>
      <w:lang w:val="en-AU" w:eastAsia="en-US"/>
    </w:rPr>
  </w:style>
  <w:style w:type="paragraph" w:styleId="Revision">
    <w:name w:val="Revision"/>
    <w:hidden/>
    <w:uiPriority w:val="99"/>
    <w:semiHidden/>
    <w:rsid w:val="00B558F2"/>
    <w:pPr>
      <w:spacing w:after="0" w:line="240" w:lineRule="auto"/>
    </w:pPr>
    <w:rPr>
      <w:rFonts w:eastAsiaTheme="minorHAnsi"/>
      <w:lang w:val="en-AU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B558F2"/>
    <w:pPr>
      <w:spacing w:line="259" w:lineRule="auto"/>
      <w:jc w:val="center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58F2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558F2"/>
    <w:pPr>
      <w:spacing w:after="160"/>
    </w:pPr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558F2"/>
    <w:rPr>
      <w:rFonts w:ascii="Calibri" w:eastAsiaTheme="minorHAnsi" w:hAnsi="Calibri" w:cs="Calibri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558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558F2"/>
    <w:rPr>
      <w:i/>
      <w:iCs/>
    </w:rPr>
  </w:style>
  <w:style w:type="character" w:customStyle="1" w:styleId="apple-converted-space">
    <w:name w:val="apple-converted-space"/>
    <w:basedOn w:val="DefaultParagraphFont"/>
    <w:rsid w:val="00B558F2"/>
  </w:style>
  <w:style w:type="paragraph" w:customStyle="1" w:styleId="paragraph">
    <w:name w:val="paragraph"/>
    <w:basedOn w:val="Normal"/>
    <w:rsid w:val="00B558F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58F2"/>
  </w:style>
  <w:style w:type="character" w:customStyle="1" w:styleId="eop">
    <w:name w:val="eop"/>
    <w:basedOn w:val="DefaultParagraphFont"/>
    <w:rsid w:val="00B558F2"/>
  </w:style>
  <w:style w:type="paragraph" w:styleId="HTMLAddress">
    <w:name w:val="HTML Address"/>
    <w:basedOn w:val="Normal"/>
    <w:link w:val="HTMLAddressChar"/>
    <w:uiPriority w:val="99"/>
    <w:semiHidden/>
    <w:unhideWhenUsed/>
    <w:rsid w:val="00B558F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58F2"/>
    <w:rPr>
      <w:rFonts w:ascii="Times New Roman" w:eastAsia="Times New Roman" w:hAnsi="Times New Roman" w:cs="Times New Roman"/>
      <w:i/>
      <w:iCs/>
      <w:sz w:val="24"/>
      <w:szCs w:val="24"/>
      <w:lang w:eastAsia="en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8F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84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IE"/>
    </w:rPr>
  </w:style>
  <w:style w:type="character" w:customStyle="1" w:styleId="title-text">
    <w:name w:val="title-text"/>
    <w:basedOn w:val="DefaultParagraphFont"/>
    <w:rsid w:val="00D6284E"/>
  </w:style>
  <w:style w:type="character" w:customStyle="1" w:styleId="Heading2Char">
    <w:name w:val="Heading 2 Char"/>
    <w:basedOn w:val="DefaultParagraphFont"/>
    <w:link w:val="Heading2"/>
    <w:uiPriority w:val="9"/>
    <w:semiHidden/>
    <w:rsid w:val="00D628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E"/>
    </w:rPr>
  </w:style>
  <w:style w:type="character" w:customStyle="1" w:styleId="Subtitle1">
    <w:name w:val="Subtitle1"/>
    <w:basedOn w:val="DefaultParagraphFont"/>
    <w:rsid w:val="0013268E"/>
  </w:style>
  <w:style w:type="character" w:styleId="FollowedHyperlink">
    <w:name w:val="FollowedHyperlink"/>
    <w:basedOn w:val="DefaultParagraphFont"/>
    <w:uiPriority w:val="99"/>
    <w:semiHidden/>
    <w:unhideWhenUsed/>
    <w:rsid w:val="004D32F4"/>
    <w:rPr>
      <w:color w:val="954F72" w:themeColor="followedHyperlink"/>
      <w:u w:val="single"/>
    </w:rPr>
  </w:style>
  <w:style w:type="character" w:customStyle="1" w:styleId="highwire-citation-authors">
    <w:name w:val="highwire-citation-authors"/>
    <w:basedOn w:val="DefaultParagraphFont"/>
    <w:rsid w:val="004D32F4"/>
  </w:style>
  <w:style w:type="character" w:customStyle="1" w:styleId="highwire-citation-author">
    <w:name w:val="highwire-citation-author"/>
    <w:basedOn w:val="DefaultParagraphFont"/>
    <w:rsid w:val="004D32F4"/>
  </w:style>
  <w:style w:type="character" w:customStyle="1" w:styleId="nlm-surname">
    <w:name w:val="nlm-surname"/>
    <w:basedOn w:val="DefaultParagraphFont"/>
    <w:rsid w:val="004D32F4"/>
  </w:style>
  <w:style w:type="character" w:customStyle="1" w:styleId="highwire-cite-metadata-journal">
    <w:name w:val="highwire-cite-metadata-journal"/>
    <w:basedOn w:val="DefaultParagraphFont"/>
    <w:rsid w:val="004D32F4"/>
  </w:style>
  <w:style w:type="character" w:customStyle="1" w:styleId="highwire-cite-metadata-date">
    <w:name w:val="highwire-cite-metadata-date"/>
    <w:basedOn w:val="DefaultParagraphFont"/>
    <w:rsid w:val="004D32F4"/>
  </w:style>
  <w:style w:type="character" w:customStyle="1" w:styleId="label">
    <w:name w:val="label"/>
    <w:basedOn w:val="DefaultParagraphFont"/>
    <w:rsid w:val="004D32F4"/>
  </w:style>
  <w:style w:type="character" w:customStyle="1" w:styleId="highwire-cite-metadata-doi">
    <w:name w:val="highwire-cite-metadata-doi"/>
    <w:basedOn w:val="DefaultParagraphFont"/>
    <w:rsid w:val="004D32F4"/>
  </w:style>
  <w:style w:type="character" w:customStyle="1" w:styleId="Subtitle2">
    <w:name w:val="Subtitle2"/>
    <w:basedOn w:val="DefaultParagraphFont"/>
    <w:rsid w:val="00FC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OKeeffe@sydney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Mary.O'Keeffe</dc:creator>
  <cp:lastModifiedBy>Microsoft Office User</cp:lastModifiedBy>
  <cp:revision>3</cp:revision>
  <cp:lastPrinted>2018-10-07T09:22:00Z</cp:lastPrinted>
  <dcterms:created xsi:type="dcterms:W3CDTF">2018-10-07T09:47:00Z</dcterms:created>
  <dcterms:modified xsi:type="dcterms:W3CDTF">2018-10-07T09:52:00Z</dcterms:modified>
</cp:coreProperties>
</file>